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MEHMEL ROBERT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40"/>
        <w:spacing w:after="0" w:line="320" w:lineRule="auto"/>
        <w:rPr>
          <w:sz w:val="20"/>
          <w:szCs w:val="20"/>
          <w:color w:val="auto"/>
        </w:rPr>
      </w:pPr>
      <w:r>
        <w:rPr>
          <w:rFonts w:ascii="Times New Roman" w:cs="Times New Roman" w:eastAsia="Times New Roman" w:hAnsi="Times New Roman"/>
          <w:sz w:val="17"/>
          <w:szCs w:val="17"/>
          <w:color w:val="0000FF"/>
        </w:rPr>
        <w:t>C/O GRIFFON CORPORATION 712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GRIFFON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GFF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10"/>
                <w:szCs w:val="10"/>
                <w:color w:val="auto"/>
              </w:rPr>
            </w:pPr>
          </w:p>
        </w:tc>
        <w:tc>
          <w:tcPr>
            <w:tcW w:w="3340" w:type="dxa"/>
            <w:vAlign w:val="bottom"/>
            <w:gridSpan w:val="8"/>
          </w:tcPr>
          <w:p>
            <w:pPr>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5"/>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06/26/2026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95.52</w:t>
            </w:r>
            <w:r>
              <w:rPr>
                <w:rFonts w:ascii="Times New Roman" w:cs="Times New Roman" w:eastAsia="Times New Roman" w:hAnsi="Times New Roman"/>
                <w:sz w:val="22"/>
                <w:szCs w:val="22"/>
                <w:color w:val="008000"/>
                <w:w w:val="95"/>
                <w:vertAlign w:val="superscript"/>
              </w:rPr>
              <w:t>(1)</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790,122</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80" w:type="dxa"/>
            <w:vAlign w:val="bottom"/>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06/26/2026</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52</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96.14</w:t>
            </w:r>
          </w:p>
        </w:tc>
        <w:tc>
          <w:tcPr>
            <w:tcW w:w="1200" w:type="dxa"/>
            <w:vAlign w:val="bottom"/>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790,070</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80" w:type="dxa"/>
            <w:vAlign w:val="bottom"/>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06/26/2026</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4</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97.5</w:t>
            </w:r>
          </w:p>
        </w:tc>
        <w:tc>
          <w:tcPr>
            <w:tcW w:w="1200" w:type="dxa"/>
            <w:vAlign w:val="bottom"/>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790,066</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4,219</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1"/>
          </w:tcPr>
          <w:p>
            <w:pPr>
              <w:jc w:val="center"/>
              <w:ind w:left="4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$95.14 to $95.99, inclusive. The reporting person undertakes to provide Griffon Corporation, any security holder of Griffon Corporation, or the staff of the Securities and Exchange Commission, upon request, full information regarding the number of shares disposed of at each price within the ranges set forth in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Seth L. Kaplan, as</w:t>
            </w:r>
          </w:p>
        </w:tc>
        <w:tc>
          <w:tcPr>
            <w:tcW w:w="5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06/30/2026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1289" TargetMode="External"/><Relationship Id="rId14" Type="http://schemas.openxmlformats.org/officeDocument/2006/relationships/hyperlink" Target="http://www.sec.gov/cgi-bin/browse-edgar?action=getcompany&amp;CIK=0000050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2026-06-30T16:54:35Z</dcterms:created>
  <dcterms:modified xsi:type="dcterms:W3CDTF">2026-06-30T16:54:35Z</dcterms:modified>
</cp:coreProperties>
</file>