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0" w:name="c117477_8k-ixbrl.htm"/>
      <w:bookmarkStart w:id="1" w:name="ksc117477_8kixbrl"/>
      <w:bookmarkEnd w:id="0"/>
      <w:bookmarkEnd w:id="1"/>
      <w:r>
        <w:rPr>
          <w:rFonts w:ascii="Times New Roman;Times;Serif" w:hAnsi="Times New Roman;Times;Serif"/>
          <w:b/>
          <w:i w:val="false"/>
          <w:caps w:val="false"/>
          <w:smallCaps w:val="false"/>
          <w:sz w:val="36"/>
        </w:rPr>
        <w:t>UNITED STATES</w:t>
        <w:b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8-K </w:t>
      </w:r>
    </w:p>
    <w:p>
      <w:pPr>
        <w:pStyle w:val="TextBody"/>
        <w:pBdr>
          <w:bottom w:val="sing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 of Report (Date of earliest event reported): August 18, 2026</w:t>
      </w:r>
    </w:p>
    <w:p>
      <w:pPr>
        <w:pStyle w:val="TextBody"/>
        <w:pBdr>
          <w:bottom w:val="sing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GRIFFON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001-06620</w:t>
      </w:r>
    </w:p>
    <w:p>
      <w:pPr>
        <w:pStyle w:val="TextBody"/>
        <w:bidi w:val="0"/>
        <w:spacing w:before="0" w:after="0"/>
        <w:ind w:left="0" w:right="0" w:hanging="0"/>
        <w:jc w:val="center"/>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810"/>
        <w:gridCol w:w="90"/>
        <w:gridCol w:w="1940"/>
      </w:tblGrid>
      <w:tr>
        <w:trPr/>
        <w:tc>
          <w:tcPr>
            <w:tcW w:w="2810" w:type="dxa"/>
            <w:tcBorders/>
            <w:vAlign w:val="center"/>
          </w:tcPr>
          <w:p>
            <w:pPr>
              <w:pStyle w:val="TableContents"/>
              <w:bidi w:val="0"/>
              <w:spacing w:before="0" w:after="283"/>
              <w:jc w:val="center"/>
              <w:rPr>
                <w:b/>
              </w:rPr>
            </w:pPr>
            <w:r>
              <w:rPr>
                <w:b/>
              </w:rPr>
              <w:t>Delaware</w:t>
            </w:r>
          </w:p>
        </w:tc>
        <w:tc>
          <w:tcPr>
            <w:tcW w:w="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b/>
              </w:rPr>
            </w:pPr>
            <w:r>
              <w:rPr>
                <w:b/>
              </w:rPr>
              <w:t>11-1893410</w:t>
            </w:r>
          </w:p>
        </w:tc>
      </w:tr>
      <w:tr>
        <w:trPr/>
        <w:tc>
          <w:tcPr>
            <w:tcW w:w="2810" w:type="dxa"/>
            <w:tcBorders/>
            <w:vAlign w:val="center"/>
          </w:tcPr>
          <w:p>
            <w:pPr>
              <w:pStyle w:val="TableContents"/>
              <w:bidi w:val="0"/>
              <w:spacing w:before="0" w:after="283"/>
              <w:jc w:val="center"/>
              <w:rPr/>
            </w:pPr>
            <w:r>
              <w:rPr>
                <w:b/>
              </w:rPr>
              <w:t>(State or other jurisdiction</w:t>
            </w:r>
            <w:r>
              <w:rPr/>
              <w:t> </w:t>
              <w:br/>
            </w:r>
            <w:r>
              <w:rPr>
                <w:b/>
              </w:rPr>
              <w:t>of incorporation)</w:t>
            </w:r>
          </w:p>
        </w:tc>
        <w:tc>
          <w:tcPr>
            <w:tcW w:w="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b/>
              </w:rPr>
              <w:t>(IRS Employer</w:t>
            </w:r>
            <w:r>
              <w:rPr/>
              <w:t> </w:t>
              <w:br/>
            </w:r>
            <w:r>
              <w:rPr>
                <w:b/>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 Fifth Avenue, 18th Floor</w:t>
        <w:br/>
        <w:t>New York, New York 10019</w:t>
        <w:br/>
        <w:t xml:space="preserve">(Address of principal executive offices, including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957-5000</w:t>
        <w:b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pBdr>
          <w:bottom w:val="sing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13e-4(c) under the Exchange Act (17 CFR 240.13e-4(c))</w:t>
            </w:r>
          </w:p>
        </w:tc>
      </w:tr>
    </w:tbl>
    <w:tbl>
      <w:tblPr>
        <w:tblW w:w="9675" w:type="dxa"/>
        <w:jc w:val="left"/>
        <w:tblInd w:w="0" w:type="dxa"/>
        <w:tblLayout w:type="fixed"/>
        <w:tblCellMar>
          <w:top w:w="0" w:type="dxa"/>
          <w:left w:w="0" w:type="dxa"/>
          <w:bottom w:w="0" w:type="dxa"/>
          <w:right w:w="0" w:type="dxa"/>
        </w:tblCellMar>
      </w:tblPr>
      <w:tblGrid>
        <w:gridCol w:w="3320"/>
        <w:gridCol w:w="1835"/>
        <w:gridCol w:w="4520"/>
      </w:tblGrid>
      <w:tr>
        <w:trPr/>
        <w:tc>
          <w:tcPr>
            <w:tcW w:w="9675" w:type="dxa"/>
            <w:gridSpan w:val="3"/>
            <w:tcBorders/>
            <w:vAlign w:val="center"/>
          </w:tcPr>
          <w:p>
            <w:pPr>
              <w:pStyle w:val="TableContents"/>
              <w:bidi w:val="0"/>
              <w:spacing w:before="0" w:after="283"/>
              <w:jc w:val="center"/>
              <w:rPr/>
            </w:pPr>
            <w:r>
              <w:rPr/>
              <w:t> </w:t>
            </w:r>
          </w:p>
        </w:tc>
      </w:tr>
      <w:tr>
        <w:trPr/>
        <w:tc>
          <w:tcPr>
            <w:tcW w:w="9675" w:type="dxa"/>
            <w:gridSpan w:val="3"/>
            <w:tcBorders/>
            <w:vAlign w:val="center"/>
          </w:tcPr>
          <w:p>
            <w:pPr>
              <w:pStyle w:val="TableContents"/>
              <w:bidi w:val="0"/>
              <w:spacing w:before="0" w:after="283"/>
              <w:jc w:val="center"/>
              <w:rPr/>
            </w:pPr>
            <w:r>
              <w:rPr/>
              <w:t> </w:t>
            </w:r>
            <w:r>
              <w:rPr/>
              <w:t>Securities registered pursuant to Section 12(b) of the Act:</w:t>
            </w:r>
          </w:p>
        </w:tc>
      </w:tr>
      <w:tr>
        <w:trPr/>
        <w:tc>
          <w:tcPr>
            <w:tcW w:w="3320" w:type="dxa"/>
            <w:tcBorders/>
            <w:vAlign w:val="center"/>
          </w:tcPr>
          <w:p>
            <w:pPr>
              <w:pStyle w:val="TableContents"/>
              <w:bidi w:val="0"/>
              <w:spacing w:before="0" w:after="283"/>
              <w:jc w:val="center"/>
              <w:rPr/>
            </w:pPr>
            <w:r>
              <w:rPr/>
              <w:t>Title of Each Class</w:t>
            </w:r>
          </w:p>
        </w:tc>
        <w:tc>
          <w:tcPr>
            <w:tcW w:w="1835" w:type="dxa"/>
            <w:tcBorders/>
            <w:vAlign w:val="center"/>
          </w:tcPr>
          <w:p>
            <w:pPr>
              <w:pStyle w:val="TableContents"/>
              <w:bidi w:val="0"/>
              <w:spacing w:before="0" w:after="283"/>
              <w:jc w:val="center"/>
              <w:rPr/>
            </w:pPr>
            <w:r>
              <w:rPr/>
              <w:t>Trading Symbol(s)</w:t>
            </w:r>
          </w:p>
        </w:tc>
        <w:tc>
          <w:tcPr>
            <w:tcW w:w="4520" w:type="dxa"/>
            <w:tcBorders/>
            <w:vAlign w:val="center"/>
          </w:tcPr>
          <w:p>
            <w:pPr>
              <w:pStyle w:val="TableContents"/>
              <w:bidi w:val="0"/>
              <w:spacing w:before="0" w:after="283"/>
              <w:jc w:val="center"/>
              <w:rPr/>
            </w:pPr>
            <w:r>
              <w:rPr/>
              <w:t>Name of Each Exchange on Which Registered</w:t>
            </w:r>
          </w:p>
        </w:tc>
      </w:tr>
      <w:tr>
        <w:trPr/>
        <w:tc>
          <w:tcPr>
            <w:tcW w:w="3320" w:type="dxa"/>
            <w:tcBorders/>
            <w:vAlign w:val="center"/>
          </w:tcPr>
          <w:p>
            <w:pPr>
              <w:pStyle w:val="TableContents"/>
              <w:bidi w:val="0"/>
              <w:spacing w:before="0" w:after="283"/>
              <w:jc w:val="center"/>
              <w:rPr>
                <w:b/>
              </w:rPr>
            </w:pPr>
            <w:r>
              <w:rPr>
                <w:b/>
              </w:rPr>
              <w:t>Common Stock, $0.25 par value</w:t>
            </w:r>
          </w:p>
        </w:tc>
        <w:tc>
          <w:tcPr>
            <w:tcW w:w="1835" w:type="dxa"/>
            <w:tcBorders/>
            <w:vAlign w:val="center"/>
          </w:tcPr>
          <w:p>
            <w:pPr>
              <w:pStyle w:val="TableContents"/>
              <w:bidi w:val="0"/>
              <w:spacing w:before="0" w:after="283"/>
              <w:jc w:val="center"/>
              <w:rPr>
                <w:b/>
              </w:rPr>
            </w:pPr>
            <w:r>
              <w:rPr>
                <w:b/>
              </w:rPr>
              <w:t>GFF</w:t>
            </w:r>
          </w:p>
        </w:tc>
        <w:tc>
          <w:tcPr>
            <w:tcW w:w="4520" w:type="dxa"/>
            <w:tcBorders/>
            <w:vAlign w:val="center"/>
          </w:tcPr>
          <w:p>
            <w:pPr>
              <w:pStyle w:val="TableContents"/>
              <w:bidi w:val="0"/>
              <w:spacing w:before="0" w:after="283"/>
              <w:jc w:val="center"/>
              <w:rPr>
                <w:b/>
              </w:rPr>
            </w:pPr>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Griffon Corporation (the “Company”) completed its previously announced notes offering (the “Notes Offering”) of $800 million aggregate principal amount of 6.25% senior notes due 2034 (the “Notes”). The Notes were sold in a private placement pursuant to a purchase agreement, dated August 10, 2026, among the Company, the guarantors named therein (the “Guarantors”) and BofA Securities, Inc., as representative of the several initial purchasers of the Notes (the “Initial Purchasers”). The Notes were resold by the Initial Purchasers to qualified institutional buyers pursuant to Rule 144A of the Securities Act of 1933, as amended (the “Securities Act”), and to non-U.S. persons pursuant to Regulation S of the Securities Act. The Notes have not been registered under the Securities Act or the securities laws of any other jurisdiction and may not be offered or sold in the United States absent registration or an applicable exemption from the registration requirements thereunder. The net proceeds to the Company from the Notes Offering were approximately $792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Notes Offering, the Company entered into an Indenture (the “Indenture”), dated as of August 18, 2026, among the Company, the Guarantors and Computershare Trust Company, N.A., as trustee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and conditions of the Notes and the Indenture are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Notes mature on October 1, 2034.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Notes accrue interest at a rate of 6.25% per year. Interest on the Notes is paid semi-annually on each April 1 and October 1, beginning on April 1,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The Notes and guarantees will be senior unsecured obligations of the Company and the Guarantors and will be: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equal in right of payment to all of the Company’s and the Guarantors’ existing and future unsecured indebtedness and other obligations that are not, by their terms, expressly subordinated in right of payment to the Notes;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effectively subordinated to all of the Company’s and the Guarantors’ existing and future secured indebtedness and other obligations to the extent of the value of the collateral securing that indebtedness and other obligations;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structurally subordinated to all existing and future indebtedness and other obligations of any of the Company’s or the Guarantors’ subsidiaries that do not guarantee the Notes; and</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senior in right of payment to any of the Company’s and the Guarantors’ existing and future subordinated indebtedness.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The Notes will be initially unconditionally guaranteed on a joint and several and senior unsecured basis by Ames Hunter Holdings Corporation, Clopay Ames Holding Corp., Clopay Corporation, CornellCookson, LLC, Cornell Real Estate Holdings, LLC, Hunter Fan Company and Griffon AMES Holdco LLC. If the Company or any of its restricted subsidiaries organize, acquire, transfer assets to or otherwise invest in any newly created or acquired domestic restricted subsidiary (other than a domestic restricted subsidiary if the Net Book Value (as defined in the Indenture) of such domestic restricted subsidiary’s assets, when taken together with the aggregate Net Book Value of the assets of all other domestic restricted subsidiaries that are not Guarantors, as of such date, does not exceed in the aggregate $50.0 million), then such domestic restricted subsidiary shall unconditionally guarantee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that the collective Net Book Value of the assets of the Company’s non-guarantor domestic restricted subsidiaries, as of the date of the organization, acquisition, transfer of assets to or investment in a non-guarantor domestic restricted subsidiary, exceeds $50.0 million, then one or more of such non-guarantor</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restricted subsidiaries shall guarantee the Notes, such that the collective Net Book Value of the assets of all remaining non-guarantor domestic restricted subsidiaries does not exceed $50.0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The Company may redeem some or all of the Notes at any time prior to October 1, 2029, for cash at a redemption price equal to 100% of their principal amount plus the Applicable Premium (as defined in the Indenture), plus accrued and unpaid interest to the redemption date. In addition, at any time (which may be more than once) before October 1, 2029, the Company may redeem up to 40% of the outstanding Notes with the proceeds from one or more public equity offerings at a redemption price equal to 106.250% of the principal amount of the Notes to be redeemed, plus accrued and unpaid interest to the date of redemption, provided that the Notes are redeemed within 90 days of completing the public equity offering and at least 60% of the aggregate principal amount of Notes issued remains outstanding afterwards.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redeem the Notes, in whole or in part, at any time on and after October 1, 2029 at the redemption prices set forth in the Indenture (initially 103.125% of the principal amount of the Notes and declining to 100% of the principal amount of the Notes on or after October 1, 2031), plus accrued and unpaid interest to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Repurchases at the Option of Holders</w:t>
      </w:r>
      <w:r>
        <w:rPr>
          <w:rFonts w:ascii="Times New Roman;Times;Serif" w:hAnsi="Times New Roman;Times;Serif"/>
          <w:b w:val="false"/>
          <w:i w:val="false"/>
          <w:caps w:val="false"/>
          <w:smallCaps w:val="false"/>
          <w:sz w:val="20"/>
        </w:rPr>
        <w:t>. Upon the occurrence of a Change of Control (as defined in the Indenture) or certain Asset Sales (as defined in the Indenture), the Company must offer to repurchase the Notes at a price equal to 101%, in the case of a Change of Control, or 100%, in the case of an Asset Sale, of the principal amount of the Notes plus accrued and unpaid interest to the date of repurchase.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The Indenture contains customary covenants limiting the Company’s ability and the ability of the Company’s restricted subsidiaries to, among other things:</w:t>
      </w:r>
    </w:p>
    <w:p>
      <w:pPr>
        <w:pStyle w:val="TextBody"/>
        <w:bidi w:val="0"/>
        <w:spacing w:before="0" w:after="0"/>
        <w:ind w:left="0" w:right="0" w:firstLine="72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140"/>
        <w:gridCol w:w="9095"/>
      </w:tblGrid>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incur additional debt, issue preferred stock or enter into sale and leaseback transactions;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issue preferred stock of subsidiaries;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make certain investments in unrestricted subsidiaries;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create liens on the Company’s and its restricted subsidiaries’ assets;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enter into transactions with affiliates;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merge, consolidate or sell substantially all of the Company’s assets;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transfer and sell assets;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create restrictions on dividends or other payments by the Company’s restricted subsidiaries; and</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create guarantees of indebtedness by restricted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covenants are subject to a number of important limitations and exceptions, which are set forth in the Indenture filed as an exhibit hereto. Many of these covenants will cease to apply to the Notes during any period that the Notes have investment grade ratings from both Moody’s Investors Service, Inc. and S&amp;P Global Ratings, provided no default has occurred and is continuing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If an event of default, as specified in the Indenture, shall occur and be continuing, either the Trustee or the holders of a specified percentage of the Notes may accelerate the maturity of all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certain terms of the Indenture set forth herein does not purport to be complete and is qualified in its entirety by the full text of the Indenture, which is filed herewith as Exhibit 4.1 and which is incorporated herein by reference.</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and certain of its subsidiaries entered into the Third Amendment to Fifth Amended and Restated Credit Agreement (the “Amendment”), which amended and restated the Company’s Fifth Amended and Restated Credit Agreement, dated as of January 24, 2022, as previously amended (the “Existing Credit Agreement”), with Bank of America, N.A., as administrative agent, and the several banks and other financial institutions or entities from time to time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Credit Agreement, as amended by the Amendment (the “Amended and Restated Credit Agreement”), replaces and refinances the existing revolving commitments and revolving loans under the Existing Credit Agreement with a new $500 million revolving credit facility (unchanged from the Existing Credit Agreement) (the “Revolving Credit Facility”), and extends the maturity date of the Revolving Credit Facility to August 18, 2031 (five years after the effective date of the Amendment). It also provides for a $125 million letter of credit sub-facility and a $200 million multicurrency sub-facility (both unchanged from the Existing Credit Agreement) and provides that borrowings under the Revolving Credit Facility bear interest, at the Company’s option, at the Term SOFR rate or the Alternate Base Rate, in each case plus an applicable margin based on the Company’s consolidated leverage ratio. The applicable margins range from 1.50% to 2.50% per annum for Term SOFR loans and from 0.50% to 1.50% per annum for Alternate Base Rate loans. The initial applicable margins are 1.75% per annum for Term SOFR loans and 0.75% per annum for Alternate Base Rate loans. The commitment fee for undrawn commitments under the Revolving Credit Facility ranges from 0.15% to 0.35% per annum, with an initial commitment fee of 0.20% per annum. The Amended and Restated Credit Agreement permits the Company, subject to certain conditions, to incur incremental revolving commitments, incremental term loans and certain other incremental equivalent debt in an aggregate amount up to the greater of $500 million and an additional amount determined by reference to a maximum consolidated senior secured leverage ratio of 3.50 to 1.00. It also eliminates the annual capital expenditures financial covenant previously contained in the Existing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Revolving Credit Facility may be repaid and reborrowed from time to time prior to maturity, subject to the terms and conditions of the 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Facility contains the following financial maintenance tests: (i) a maximum consolidated leverage ratio of 5.50 to 1.00, (ii) a maximum consolidated senior secured leverage ratio of 3.50 to 1.00 and (iii) a minimum consolidated interest coverage ratio of 2.00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Amended and Restated Credit Agreement are guaranteed by certain of the Company’s domestic subsidiaries and are secured by liens on substantially all of the assets of the Company and such guarantors, subject to customary exceptions and exclusions. The Amended and Restated Credit Agreement also contains customary affirmative and negative covenants and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Amendment, including the Amended and Restated Credit Agreement, is filed as Exhibit 10.1 to this Current Report on Form 8-K. The foregoing description of the Amendment and the Amended and Restated Credit Agreement does not purport to be complete and is qualified in its entirety by reference to the Amendment and the 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2.03 Creation of a Direct Financial Obligation or an Obligation under an Off-Balance Sheet Arrangement of a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1.01 of this Report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issued a press release announcing the closing of the Notes Offering and its entry into the Amended and Restated Credit Agreement. A copy of the press release is attached hereto as Exhibit 99.1 and is incorporated herein by reference.</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470"/>
        <w:gridCol w:w="9630"/>
      </w:tblGrid>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(d)</w:t>
            </w:r>
          </w:p>
        </w:tc>
        <w:tc>
          <w:tcPr>
            <w:tcW w:w="9630" w:type="dxa"/>
            <w:tcBorders/>
            <w:vAlign w:val="center"/>
          </w:tcPr>
          <w:p>
            <w:pPr>
              <w:pStyle w:val="TableContents"/>
              <w:bidi w:val="0"/>
              <w:spacing w:before="0" w:after="283"/>
              <w:jc w:val="left"/>
              <w:rPr/>
            </w:pPr>
            <w:r>
              <w:rPr>
                <w:i/>
              </w:rPr>
              <w:t>Exhibits</w:t>
            </w:r>
            <w:r>
              <w:rPr/>
              <w:t>.</w:t>
            </w:r>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4.1</w:t>
            </w:r>
          </w:p>
        </w:tc>
        <w:tc>
          <w:tcPr>
            <w:tcW w:w="9630" w:type="dxa"/>
            <w:tcBorders/>
            <w:vAlign w:val="center"/>
          </w:tcPr>
          <w:p>
            <w:pPr>
              <w:pStyle w:val="TableContents"/>
              <w:bidi w:val="0"/>
              <w:spacing w:before="0" w:after="283"/>
              <w:jc w:val="left"/>
              <w:rPr/>
            </w:pPr>
            <w:hyperlink w:anchor="c117477_ex4-1.htm">
              <w:r>
                <w:rPr>
                  <w:rStyle w:val="InternetLink"/>
                </w:rPr>
                <w:t>Indenture, dated as of August 18, 2026, among Griffon Corporation, the Guarantors named on the signature pages thereto and Computershare Trust Company, N.A., as Trustee.</w:t>
              </w:r>
            </w:hyperlink>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99.1</w:t>
            </w:r>
          </w:p>
        </w:tc>
        <w:tc>
          <w:tcPr>
            <w:tcW w:w="9630" w:type="dxa"/>
            <w:tcBorders/>
            <w:vAlign w:val="center"/>
          </w:tcPr>
          <w:p>
            <w:pPr>
              <w:pStyle w:val="TableContents"/>
              <w:bidi w:val="0"/>
              <w:spacing w:before="0" w:after="283"/>
              <w:jc w:val="left"/>
              <w:rPr/>
            </w:pPr>
            <w:hyperlink w:anchor="c117477_ex99-1.htm">
              <w:r>
                <w:rPr>
                  <w:rStyle w:val="InternetLink"/>
                </w:rPr>
                <w:t>Third Amendment to Fifth Amended and Restated Credit Agreement, dated as of August 18, 2026, by and among Griffon Corporation, Bank of America, N.A., as administrative agent, and the several banks and other financial institutions or entities from time to time parties thereto.</w:t>
              </w:r>
            </w:hyperlink>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99.2</w:t>
            </w:r>
          </w:p>
        </w:tc>
        <w:tc>
          <w:tcPr>
            <w:tcW w:w="9630" w:type="dxa"/>
            <w:tcBorders/>
            <w:vAlign w:val="center"/>
          </w:tcPr>
          <w:p>
            <w:pPr>
              <w:pStyle w:val="TableContents"/>
              <w:bidi w:val="0"/>
              <w:spacing w:before="0" w:after="283"/>
              <w:jc w:val="left"/>
              <w:rPr/>
            </w:pPr>
            <w:hyperlink w:anchor="c117477_ex99-2.htm">
              <w:r>
                <w:rPr>
                  <w:rStyle w:val="InternetLink"/>
                </w:rPr>
                <w:t>Press Release, dated August 18, 2026.</w:t>
              </w:r>
            </w:hyperlink>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104</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2225"/>
        <w:gridCol w:w="515"/>
        <w:gridCol w:w="2960"/>
      </w:tblGrid>
      <w:tr>
        <w:trPr/>
        <w:tc>
          <w:tcPr>
            <w:tcW w:w="222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GRIFFON CORPORATION</w:t>
            </w:r>
          </w:p>
        </w:tc>
      </w:tr>
      <w:tr>
        <w:trPr/>
        <w:tc>
          <w:tcPr>
            <w:tcW w:w="222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Date: August 19, 2026</w:t>
            </w:r>
          </w:p>
        </w:tc>
        <w:tc>
          <w:tcPr>
            <w:tcW w:w="515" w:type="dxa"/>
            <w:tcBorders/>
            <w:vAlign w:val="center"/>
          </w:tcPr>
          <w:p>
            <w:pPr>
              <w:pStyle w:val="TableContents"/>
              <w:bidi w:val="0"/>
              <w:spacing w:before="0" w:after="283"/>
              <w:jc w:val="left"/>
              <w:rPr/>
            </w:pPr>
            <w:r>
              <w:rPr/>
              <w:t>By:  </w:t>
            </w:r>
          </w:p>
        </w:tc>
        <w:tc>
          <w:tcPr>
            <w:tcW w:w="2960" w:type="dxa"/>
            <w:tcBorders>
              <w:bottom w:val="single" w:sz="2" w:space="0" w:color="000000"/>
            </w:tcBorders>
            <w:tcMar>
              <w:bottom w:w="28" w:type="dxa"/>
            </w:tcMar>
            <w:vAlign w:val="center"/>
          </w:tcPr>
          <w:p>
            <w:pPr>
              <w:pStyle w:val="TableContents"/>
              <w:bidi w:val="0"/>
              <w:spacing w:before="0" w:after="283"/>
              <w:jc w:val="left"/>
              <w:rPr/>
            </w:pPr>
            <w:r>
              <w:rPr/>
              <w:t>/s/ Seth L. Kaplan</w:t>
            </w:r>
          </w:p>
        </w:tc>
      </w:tr>
      <w:tr>
        <w:trPr/>
        <w:tc>
          <w:tcPr>
            <w:tcW w:w="222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Seth L. Kaplan</w:t>
            </w:r>
          </w:p>
        </w:tc>
      </w:tr>
      <w:tr>
        <w:trPr/>
        <w:tc>
          <w:tcPr>
            <w:tcW w:w="222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Executive Vice President</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c117477_ex4-1.htm"/>
      <w:bookmarkStart w:id="3" w:name="ksc117477_ex41"/>
      <w:bookmarkEnd w:id="2"/>
      <w:bookmarkEnd w:id="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br/>
        <w:br/>
        <w:t>Dated as of August 18, 2026</w:t>
        <w:br/>
        <w:br/>
        <w:t>Among</w:t>
        <w:br/>
        <w:br/>
        <w:t>GRIFFON CORPORATION,</w:t>
        <w:br/>
        <w:br/>
        <w:t>THE GUARANTORS NAMED ON THE SIGNATURE PAGES HERETO</w:t>
        <w:br/>
        <w:br/>
        <w:t>and</w:t>
        <w:br/>
        <w:br/>
        <w:t>COMPUTERSHARE TRUST COMPANY, N.A.,</w:t>
        <w:br/>
        <w:t>as Trustee</w:t>
        <w:br/>
        <w:br/>
        <w:br/>
        <w:t>6.250% SENIOR NOTES DUE 2034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bdr w:val="single" w:sz="4" w:space="1" w:color="000000"/>
        </w:rPr>
      </w:pPr>
      <w:r>
        <w:rPr>
          <w:bdr w:val="single" w:sz="4"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60"/>
        <w:gridCol w:w="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br/>
        <w:t>DEFINITIONS AND INCORPORATION BY REFERENCE</w:t>
      </w:r>
    </w:p>
    <w:p>
      <w:pPr>
        <w:pStyle w:val="TextBody"/>
        <w:bidi w:val="0"/>
        <w:spacing w:before="0" w:after="0"/>
        <w:ind w:left="0" w:right="0" w:hanging="0"/>
        <w:jc w:val="center"/>
        <w:rPr>
          <w:caps/>
        </w:rPr>
      </w:pPr>
      <w:r>
        <w:rPr>
          <w:caps/>
        </w:rPr>
        <w:t> </w:t>
      </w:r>
    </w:p>
    <w:tbl>
      <w:tblPr>
        <w:tblW w:w="7005" w:type="dxa"/>
        <w:jc w:val="left"/>
        <w:tblInd w:w="0" w:type="dxa"/>
        <w:tblLayout w:type="fixed"/>
        <w:tblCellMar>
          <w:top w:w="0" w:type="dxa"/>
          <w:left w:w="0" w:type="dxa"/>
          <w:bottom w:w="0" w:type="dxa"/>
          <w:right w:w="0" w:type="dxa"/>
        </w:tblCellMar>
      </w:tblPr>
      <w:tblGrid>
        <w:gridCol w:w="1220"/>
        <w:gridCol w:w="5510"/>
        <w:gridCol w:w="275"/>
      </w:tblGrid>
      <w:tr>
        <w:trPr/>
        <w:tc>
          <w:tcPr>
            <w:tcW w:w="1220" w:type="dxa"/>
            <w:tcBorders/>
            <w:vAlign w:val="center"/>
          </w:tcPr>
          <w:p>
            <w:pPr>
              <w:pStyle w:val="TableContents"/>
              <w:bidi w:val="0"/>
              <w:spacing w:before="0" w:after="283"/>
              <w:jc w:val="left"/>
              <w:rPr/>
            </w:pPr>
            <w:r>
              <w:rPr/>
              <w:t>Section 1.01</w:t>
            </w:r>
          </w:p>
        </w:tc>
        <w:tc>
          <w:tcPr>
            <w:tcW w:w="5510"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1</w:t>
            </w:r>
          </w:p>
        </w:tc>
      </w:tr>
      <w:tr>
        <w:trPr/>
        <w:tc>
          <w:tcPr>
            <w:tcW w:w="1220" w:type="dxa"/>
            <w:tcBorders/>
            <w:vAlign w:val="center"/>
          </w:tcPr>
          <w:p>
            <w:pPr>
              <w:pStyle w:val="TableContents"/>
              <w:bidi w:val="0"/>
              <w:spacing w:before="0" w:after="283"/>
              <w:jc w:val="left"/>
              <w:rPr/>
            </w:pPr>
            <w:r>
              <w:rPr/>
              <w:t>Section 1.02</w:t>
            </w:r>
          </w:p>
        </w:tc>
        <w:tc>
          <w:tcPr>
            <w:tcW w:w="5510" w:type="dxa"/>
            <w:tcBorders/>
            <w:vAlign w:val="center"/>
          </w:tcPr>
          <w:p>
            <w:pPr>
              <w:pStyle w:val="TableContents"/>
              <w:bidi w:val="0"/>
              <w:spacing w:before="0" w:after="283"/>
              <w:jc w:val="left"/>
              <w:rPr/>
            </w:pPr>
            <w:r>
              <w:rPr/>
              <w:t>Other Definitions</w:t>
            </w:r>
          </w:p>
        </w:tc>
        <w:tc>
          <w:tcPr>
            <w:tcW w:w="275" w:type="dxa"/>
            <w:tcBorders/>
            <w:vAlign w:val="center"/>
          </w:tcPr>
          <w:p>
            <w:pPr>
              <w:pStyle w:val="TableContents"/>
              <w:bidi w:val="0"/>
              <w:spacing w:before="0" w:after="283"/>
              <w:jc w:val="right"/>
              <w:rPr/>
            </w:pPr>
            <w:r>
              <w:rPr/>
              <w:t>28</w:t>
            </w:r>
          </w:p>
        </w:tc>
      </w:tr>
      <w:tr>
        <w:trPr/>
        <w:tc>
          <w:tcPr>
            <w:tcW w:w="1220" w:type="dxa"/>
            <w:tcBorders/>
            <w:vAlign w:val="center"/>
          </w:tcPr>
          <w:p>
            <w:pPr>
              <w:pStyle w:val="TableContents"/>
              <w:bidi w:val="0"/>
              <w:spacing w:before="0" w:after="283"/>
              <w:jc w:val="left"/>
              <w:rPr/>
            </w:pPr>
            <w:r>
              <w:rPr/>
              <w:t>Section 1.03</w:t>
            </w:r>
          </w:p>
        </w:tc>
        <w:tc>
          <w:tcPr>
            <w:tcW w:w="5510" w:type="dxa"/>
            <w:tcBorders/>
            <w:vAlign w:val="center"/>
          </w:tcPr>
          <w:p>
            <w:pPr>
              <w:pStyle w:val="TableContents"/>
              <w:bidi w:val="0"/>
              <w:spacing w:before="0" w:after="283"/>
              <w:jc w:val="left"/>
              <w:rPr/>
            </w:pPr>
            <w:r>
              <w:rPr/>
              <w:t>Trust Indenture Act</w:t>
            </w:r>
          </w:p>
        </w:tc>
        <w:tc>
          <w:tcPr>
            <w:tcW w:w="275" w:type="dxa"/>
            <w:tcBorders/>
            <w:vAlign w:val="center"/>
          </w:tcPr>
          <w:p>
            <w:pPr>
              <w:pStyle w:val="TableContents"/>
              <w:bidi w:val="0"/>
              <w:spacing w:before="0" w:after="283"/>
              <w:jc w:val="right"/>
              <w:rPr/>
            </w:pPr>
            <w:r>
              <w:rPr/>
              <w:t>29</w:t>
            </w:r>
          </w:p>
        </w:tc>
      </w:tr>
      <w:tr>
        <w:trPr/>
        <w:tc>
          <w:tcPr>
            <w:tcW w:w="1220" w:type="dxa"/>
            <w:tcBorders/>
            <w:vAlign w:val="center"/>
          </w:tcPr>
          <w:p>
            <w:pPr>
              <w:pStyle w:val="TableContents"/>
              <w:bidi w:val="0"/>
              <w:spacing w:before="0" w:after="283"/>
              <w:jc w:val="left"/>
              <w:rPr/>
            </w:pPr>
            <w:r>
              <w:rPr/>
              <w:t>Section 1.04</w:t>
            </w:r>
          </w:p>
        </w:tc>
        <w:tc>
          <w:tcPr>
            <w:tcW w:w="5510" w:type="dxa"/>
            <w:tcBorders/>
            <w:vAlign w:val="center"/>
          </w:tcPr>
          <w:p>
            <w:pPr>
              <w:pStyle w:val="TableContents"/>
              <w:bidi w:val="0"/>
              <w:spacing w:before="0" w:after="283"/>
              <w:jc w:val="left"/>
              <w:rPr/>
            </w:pPr>
            <w:r>
              <w:rPr/>
              <w:t>Rules of Construction</w:t>
            </w:r>
          </w:p>
        </w:tc>
        <w:tc>
          <w:tcPr>
            <w:tcW w:w="275" w:type="dxa"/>
            <w:tcBorders/>
            <w:vAlign w:val="center"/>
          </w:tcPr>
          <w:p>
            <w:pPr>
              <w:pStyle w:val="TableContents"/>
              <w:bidi w:val="0"/>
              <w:spacing w:before="0" w:after="283"/>
              <w:jc w:val="right"/>
              <w:rPr/>
            </w:pPr>
            <w:r>
              <w:rPr/>
              <w:t>29</w:t>
            </w:r>
          </w:p>
        </w:tc>
      </w:tr>
      <w:tr>
        <w:trPr/>
        <w:tc>
          <w:tcPr>
            <w:tcW w:w="1220" w:type="dxa"/>
            <w:tcBorders/>
            <w:vAlign w:val="center"/>
          </w:tcPr>
          <w:p>
            <w:pPr>
              <w:pStyle w:val="TableContents"/>
              <w:bidi w:val="0"/>
              <w:spacing w:before="0" w:after="283"/>
              <w:jc w:val="left"/>
              <w:rPr/>
            </w:pPr>
            <w:r>
              <w:rPr/>
              <w:t>Section 1.05</w:t>
            </w:r>
          </w:p>
        </w:tc>
        <w:tc>
          <w:tcPr>
            <w:tcW w:w="5510" w:type="dxa"/>
            <w:tcBorders/>
            <w:vAlign w:val="center"/>
          </w:tcPr>
          <w:p>
            <w:pPr>
              <w:pStyle w:val="TableContents"/>
              <w:bidi w:val="0"/>
              <w:spacing w:before="0" w:after="283"/>
              <w:jc w:val="left"/>
              <w:rPr/>
            </w:pPr>
            <w:r>
              <w:rPr/>
              <w:t>Acts of Holders</w:t>
            </w:r>
          </w:p>
        </w:tc>
        <w:tc>
          <w:tcPr>
            <w:tcW w:w="275" w:type="dxa"/>
            <w:tcBorders/>
            <w:vAlign w:val="center"/>
          </w:tcPr>
          <w:p>
            <w:pPr>
              <w:pStyle w:val="TableContents"/>
              <w:bidi w:val="0"/>
              <w:spacing w:before="0" w:after="283"/>
              <w:jc w:val="right"/>
              <w:rPr/>
            </w:pPr>
            <w:r>
              <w:rPr/>
              <w:t>30</w:t>
            </w:r>
          </w:p>
        </w:tc>
      </w:tr>
      <w:tr>
        <w:trPr/>
        <w:tc>
          <w:tcPr>
            <w:tcW w:w="1220" w:type="dxa"/>
            <w:tcBorders/>
            <w:vAlign w:val="center"/>
          </w:tcPr>
          <w:p>
            <w:pPr>
              <w:pStyle w:val="TableContents"/>
              <w:bidi w:val="0"/>
              <w:spacing w:before="0" w:after="283"/>
              <w:jc w:val="left"/>
              <w:rPr/>
            </w:pPr>
            <w:r>
              <w:rPr/>
              <w:t>Section 1.06</w:t>
            </w:r>
          </w:p>
        </w:tc>
        <w:tc>
          <w:tcPr>
            <w:tcW w:w="5510" w:type="dxa"/>
            <w:tcBorders/>
            <w:vAlign w:val="center"/>
          </w:tcPr>
          <w:p>
            <w:pPr>
              <w:pStyle w:val="TableContents"/>
              <w:bidi w:val="0"/>
              <w:spacing w:before="0" w:after="283"/>
              <w:jc w:val="left"/>
              <w:rPr/>
            </w:pPr>
            <w:r>
              <w:rPr/>
              <w:t>Certain Determinations</w:t>
            </w:r>
          </w:p>
        </w:tc>
        <w:tc>
          <w:tcPr>
            <w:tcW w:w="275" w:type="dxa"/>
            <w:tcBorders/>
            <w:vAlign w:val="center"/>
          </w:tcPr>
          <w:p>
            <w:pPr>
              <w:pStyle w:val="TableContents"/>
              <w:bidi w:val="0"/>
              <w:spacing w:before="0" w:after="283"/>
              <w:jc w:val="right"/>
              <w:rPr/>
            </w:pPr>
            <w:r>
              <w:rPr/>
              <w:t>31</w:t>
            </w:r>
          </w:p>
        </w:tc>
      </w:tr>
      <w:tr>
        <w:trPr/>
        <w:tc>
          <w:tcPr>
            <w:tcW w:w="1220" w:type="dxa"/>
            <w:tcBorders/>
            <w:vAlign w:val="center"/>
          </w:tcPr>
          <w:p>
            <w:pPr>
              <w:pStyle w:val="TableContents"/>
              <w:bidi w:val="0"/>
              <w:spacing w:before="0" w:after="283"/>
              <w:jc w:val="left"/>
              <w:rPr/>
            </w:pPr>
            <w:r>
              <w:rPr/>
              <w:t>Section 1.07</w:t>
            </w:r>
          </w:p>
        </w:tc>
        <w:tc>
          <w:tcPr>
            <w:tcW w:w="5510" w:type="dxa"/>
            <w:tcBorders/>
            <w:vAlign w:val="center"/>
          </w:tcPr>
          <w:p>
            <w:pPr>
              <w:pStyle w:val="TableContents"/>
              <w:bidi w:val="0"/>
              <w:spacing w:before="0" w:after="283"/>
              <w:jc w:val="left"/>
              <w:rPr/>
            </w:pPr>
            <w:r>
              <w:rPr/>
              <w:t>Financial Calculations for Limited Condition Transactions</w:t>
            </w:r>
          </w:p>
        </w:tc>
        <w:tc>
          <w:tcPr>
            <w:tcW w:w="275" w:type="dxa"/>
            <w:tcBorders/>
            <w:vAlign w:val="center"/>
          </w:tcPr>
          <w:p>
            <w:pPr>
              <w:pStyle w:val="TableContents"/>
              <w:bidi w:val="0"/>
              <w:spacing w:before="0" w:after="283"/>
              <w:jc w:val="right"/>
              <w:rPr/>
            </w:pPr>
            <w:r>
              <w:rPr/>
              <w:t>31</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br/>
        <w:t>THE NOTES</w:t>
      </w:r>
    </w:p>
    <w:p>
      <w:pPr>
        <w:pStyle w:val="TextBody"/>
        <w:bidi w:val="0"/>
        <w:spacing w:before="0" w:after="0"/>
        <w:ind w:left="0" w:right="0" w:hanging="0"/>
        <w:jc w:val="center"/>
        <w:rPr>
          <w:caps/>
        </w:rPr>
      </w:pPr>
      <w:r>
        <w:rPr>
          <w:caps/>
        </w:rPr>
        <w:t> </w:t>
      </w:r>
    </w:p>
    <w:tbl>
      <w:tblPr>
        <w:tblW w:w="5220" w:type="dxa"/>
        <w:jc w:val="left"/>
        <w:tblInd w:w="0" w:type="dxa"/>
        <w:tblLayout w:type="fixed"/>
        <w:tblCellMar>
          <w:top w:w="0" w:type="dxa"/>
          <w:left w:w="0" w:type="dxa"/>
          <w:bottom w:w="0" w:type="dxa"/>
          <w:right w:w="0" w:type="dxa"/>
        </w:tblCellMar>
      </w:tblPr>
      <w:tblGrid>
        <w:gridCol w:w="1220"/>
        <w:gridCol w:w="3725"/>
        <w:gridCol w:w="275"/>
      </w:tblGrid>
      <w:tr>
        <w:trPr/>
        <w:tc>
          <w:tcPr>
            <w:tcW w:w="1220" w:type="dxa"/>
            <w:tcBorders/>
            <w:vAlign w:val="center"/>
          </w:tcPr>
          <w:p>
            <w:pPr>
              <w:pStyle w:val="TableContents"/>
              <w:bidi w:val="0"/>
              <w:spacing w:before="0" w:after="283"/>
              <w:jc w:val="left"/>
              <w:rPr/>
            </w:pPr>
            <w:r>
              <w:rPr/>
              <w:t>Section 2.01</w:t>
            </w:r>
          </w:p>
        </w:tc>
        <w:tc>
          <w:tcPr>
            <w:tcW w:w="3725" w:type="dxa"/>
            <w:tcBorders/>
            <w:vAlign w:val="center"/>
          </w:tcPr>
          <w:p>
            <w:pPr>
              <w:pStyle w:val="TableContents"/>
              <w:bidi w:val="0"/>
              <w:spacing w:before="0" w:after="283"/>
              <w:jc w:val="left"/>
              <w:rPr/>
            </w:pPr>
            <w:r>
              <w:rPr/>
              <w:t>Form and Dating; Terms</w:t>
            </w:r>
          </w:p>
        </w:tc>
        <w:tc>
          <w:tcPr>
            <w:tcW w:w="275" w:type="dxa"/>
            <w:tcBorders/>
            <w:vAlign w:val="center"/>
          </w:tcPr>
          <w:p>
            <w:pPr>
              <w:pStyle w:val="TableContents"/>
              <w:bidi w:val="0"/>
              <w:spacing w:before="0" w:after="283"/>
              <w:jc w:val="right"/>
              <w:rPr/>
            </w:pPr>
            <w:r>
              <w:rPr/>
              <w:t>33</w:t>
            </w:r>
          </w:p>
        </w:tc>
      </w:tr>
      <w:tr>
        <w:trPr/>
        <w:tc>
          <w:tcPr>
            <w:tcW w:w="1220" w:type="dxa"/>
            <w:tcBorders/>
            <w:vAlign w:val="center"/>
          </w:tcPr>
          <w:p>
            <w:pPr>
              <w:pStyle w:val="TableContents"/>
              <w:bidi w:val="0"/>
              <w:spacing w:before="0" w:after="283"/>
              <w:jc w:val="left"/>
              <w:rPr/>
            </w:pPr>
            <w:r>
              <w:rPr/>
              <w:t>Section 2.02</w:t>
            </w:r>
          </w:p>
        </w:tc>
        <w:tc>
          <w:tcPr>
            <w:tcW w:w="3725" w:type="dxa"/>
            <w:tcBorders/>
            <w:vAlign w:val="center"/>
          </w:tcPr>
          <w:p>
            <w:pPr>
              <w:pStyle w:val="TableContents"/>
              <w:bidi w:val="0"/>
              <w:spacing w:before="0" w:after="283"/>
              <w:jc w:val="left"/>
              <w:rPr/>
            </w:pPr>
            <w:r>
              <w:rPr/>
              <w:t>Execution and Authentication</w:t>
            </w:r>
          </w:p>
        </w:tc>
        <w:tc>
          <w:tcPr>
            <w:tcW w:w="275" w:type="dxa"/>
            <w:tcBorders/>
            <w:vAlign w:val="center"/>
          </w:tcPr>
          <w:p>
            <w:pPr>
              <w:pStyle w:val="TableContents"/>
              <w:bidi w:val="0"/>
              <w:spacing w:before="0" w:after="283"/>
              <w:jc w:val="right"/>
              <w:rPr/>
            </w:pPr>
            <w:r>
              <w:rPr/>
              <w:t>34</w:t>
            </w:r>
          </w:p>
        </w:tc>
      </w:tr>
      <w:tr>
        <w:trPr/>
        <w:tc>
          <w:tcPr>
            <w:tcW w:w="1220" w:type="dxa"/>
            <w:tcBorders/>
            <w:vAlign w:val="center"/>
          </w:tcPr>
          <w:p>
            <w:pPr>
              <w:pStyle w:val="TableContents"/>
              <w:bidi w:val="0"/>
              <w:spacing w:before="0" w:after="283"/>
              <w:jc w:val="left"/>
              <w:rPr/>
            </w:pPr>
            <w:r>
              <w:rPr/>
              <w:t>Section 2.03</w:t>
            </w:r>
          </w:p>
        </w:tc>
        <w:tc>
          <w:tcPr>
            <w:tcW w:w="3725" w:type="dxa"/>
            <w:tcBorders/>
            <w:vAlign w:val="center"/>
          </w:tcPr>
          <w:p>
            <w:pPr>
              <w:pStyle w:val="TableContents"/>
              <w:bidi w:val="0"/>
              <w:spacing w:before="0" w:after="283"/>
              <w:jc w:val="left"/>
              <w:rPr/>
            </w:pPr>
            <w:r>
              <w:rPr/>
              <w:t>Registrar and Paying Agent</w:t>
            </w:r>
          </w:p>
        </w:tc>
        <w:tc>
          <w:tcPr>
            <w:tcW w:w="275" w:type="dxa"/>
            <w:tcBorders/>
            <w:vAlign w:val="center"/>
          </w:tcPr>
          <w:p>
            <w:pPr>
              <w:pStyle w:val="TableContents"/>
              <w:bidi w:val="0"/>
              <w:spacing w:before="0" w:after="283"/>
              <w:jc w:val="right"/>
              <w:rPr/>
            </w:pPr>
            <w:r>
              <w:rPr/>
              <w:t>34</w:t>
            </w:r>
          </w:p>
        </w:tc>
      </w:tr>
      <w:tr>
        <w:trPr/>
        <w:tc>
          <w:tcPr>
            <w:tcW w:w="1220" w:type="dxa"/>
            <w:tcBorders/>
            <w:vAlign w:val="center"/>
          </w:tcPr>
          <w:p>
            <w:pPr>
              <w:pStyle w:val="TableContents"/>
              <w:bidi w:val="0"/>
              <w:spacing w:before="0" w:after="283"/>
              <w:jc w:val="left"/>
              <w:rPr/>
            </w:pPr>
            <w:r>
              <w:rPr/>
              <w:t>Section 2.04</w:t>
            </w:r>
          </w:p>
        </w:tc>
        <w:tc>
          <w:tcPr>
            <w:tcW w:w="3725" w:type="dxa"/>
            <w:tcBorders/>
            <w:vAlign w:val="center"/>
          </w:tcPr>
          <w:p>
            <w:pPr>
              <w:pStyle w:val="TableContents"/>
              <w:bidi w:val="0"/>
              <w:spacing w:before="0" w:after="283"/>
              <w:jc w:val="left"/>
              <w:rPr/>
            </w:pPr>
            <w:r>
              <w:rPr/>
              <w:t>Paying Agent To Hold Money in Trust</w:t>
            </w:r>
          </w:p>
        </w:tc>
        <w:tc>
          <w:tcPr>
            <w:tcW w:w="275" w:type="dxa"/>
            <w:tcBorders/>
            <w:vAlign w:val="center"/>
          </w:tcPr>
          <w:p>
            <w:pPr>
              <w:pStyle w:val="TableContents"/>
              <w:bidi w:val="0"/>
              <w:spacing w:before="0" w:after="283"/>
              <w:jc w:val="right"/>
              <w:rPr/>
            </w:pPr>
            <w:r>
              <w:rPr/>
              <w:t>35</w:t>
            </w:r>
          </w:p>
        </w:tc>
      </w:tr>
      <w:tr>
        <w:trPr/>
        <w:tc>
          <w:tcPr>
            <w:tcW w:w="1220" w:type="dxa"/>
            <w:tcBorders/>
            <w:vAlign w:val="center"/>
          </w:tcPr>
          <w:p>
            <w:pPr>
              <w:pStyle w:val="TableContents"/>
              <w:bidi w:val="0"/>
              <w:spacing w:before="0" w:after="283"/>
              <w:jc w:val="left"/>
              <w:rPr/>
            </w:pPr>
            <w:r>
              <w:rPr/>
              <w:t>Section 2.05</w:t>
            </w:r>
          </w:p>
        </w:tc>
        <w:tc>
          <w:tcPr>
            <w:tcW w:w="3725" w:type="dxa"/>
            <w:tcBorders/>
            <w:vAlign w:val="center"/>
          </w:tcPr>
          <w:p>
            <w:pPr>
              <w:pStyle w:val="TableContents"/>
              <w:bidi w:val="0"/>
              <w:spacing w:before="0" w:after="283"/>
              <w:jc w:val="left"/>
              <w:rPr/>
            </w:pPr>
            <w:r>
              <w:rPr/>
              <w:t>Holder Lists</w:t>
            </w:r>
          </w:p>
        </w:tc>
        <w:tc>
          <w:tcPr>
            <w:tcW w:w="275" w:type="dxa"/>
            <w:tcBorders/>
            <w:vAlign w:val="center"/>
          </w:tcPr>
          <w:p>
            <w:pPr>
              <w:pStyle w:val="TableContents"/>
              <w:bidi w:val="0"/>
              <w:spacing w:before="0" w:after="283"/>
              <w:jc w:val="right"/>
              <w:rPr/>
            </w:pPr>
            <w:r>
              <w:rPr/>
              <w:t>35</w:t>
            </w:r>
          </w:p>
        </w:tc>
      </w:tr>
      <w:tr>
        <w:trPr/>
        <w:tc>
          <w:tcPr>
            <w:tcW w:w="1220" w:type="dxa"/>
            <w:tcBorders/>
            <w:vAlign w:val="center"/>
          </w:tcPr>
          <w:p>
            <w:pPr>
              <w:pStyle w:val="TableContents"/>
              <w:bidi w:val="0"/>
              <w:spacing w:before="0" w:after="283"/>
              <w:jc w:val="left"/>
              <w:rPr/>
            </w:pPr>
            <w:r>
              <w:rPr/>
              <w:t>Section 2.06</w:t>
            </w:r>
          </w:p>
        </w:tc>
        <w:tc>
          <w:tcPr>
            <w:tcW w:w="3725" w:type="dxa"/>
            <w:tcBorders/>
            <w:vAlign w:val="center"/>
          </w:tcPr>
          <w:p>
            <w:pPr>
              <w:pStyle w:val="TableContents"/>
              <w:bidi w:val="0"/>
              <w:spacing w:before="0" w:after="283"/>
              <w:jc w:val="left"/>
              <w:rPr/>
            </w:pPr>
            <w:r>
              <w:rPr/>
              <w:t>Transfer and Exchange</w:t>
            </w:r>
          </w:p>
        </w:tc>
        <w:tc>
          <w:tcPr>
            <w:tcW w:w="275" w:type="dxa"/>
            <w:tcBorders/>
            <w:vAlign w:val="center"/>
          </w:tcPr>
          <w:p>
            <w:pPr>
              <w:pStyle w:val="TableContents"/>
              <w:bidi w:val="0"/>
              <w:spacing w:before="0" w:after="283"/>
              <w:jc w:val="right"/>
              <w:rPr/>
            </w:pPr>
            <w:r>
              <w:rPr/>
              <w:t>35</w:t>
            </w:r>
          </w:p>
        </w:tc>
      </w:tr>
      <w:tr>
        <w:trPr/>
        <w:tc>
          <w:tcPr>
            <w:tcW w:w="1220" w:type="dxa"/>
            <w:tcBorders/>
            <w:vAlign w:val="center"/>
          </w:tcPr>
          <w:p>
            <w:pPr>
              <w:pStyle w:val="TableContents"/>
              <w:bidi w:val="0"/>
              <w:spacing w:before="0" w:after="283"/>
              <w:jc w:val="left"/>
              <w:rPr/>
            </w:pPr>
            <w:r>
              <w:rPr/>
              <w:t>Section 2.07</w:t>
            </w:r>
          </w:p>
        </w:tc>
        <w:tc>
          <w:tcPr>
            <w:tcW w:w="3725" w:type="dxa"/>
            <w:tcBorders/>
            <w:vAlign w:val="center"/>
          </w:tcPr>
          <w:p>
            <w:pPr>
              <w:pStyle w:val="TableContents"/>
              <w:bidi w:val="0"/>
              <w:spacing w:before="0" w:after="283"/>
              <w:jc w:val="left"/>
              <w:rPr/>
            </w:pPr>
            <w:r>
              <w:rPr/>
              <w:t>Replacement Notes</w:t>
            </w:r>
          </w:p>
        </w:tc>
        <w:tc>
          <w:tcPr>
            <w:tcW w:w="275" w:type="dxa"/>
            <w:tcBorders/>
            <w:vAlign w:val="center"/>
          </w:tcPr>
          <w:p>
            <w:pPr>
              <w:pStyle w:val="TableContents"/>
              <w:bidi w:val="0"/>
              <w:spacing w:before="0" w:after="283"/>
              <w:jc w:val="right"/>
              <w:rPr/>
            </w:pPr>
            <w:r>
              <w:rPr/>
              <w:t>46</w:t>
            </w:r>
          </w:p>
        </w:tc>
      </w:tr>
      <w:tr>
        <w:trPr/>
        <w:tc>
          <w:tcPr>
            <w:tcW w:w="1220" w:type="dxa"/>
            <w:tcBorders/>
            <w:vAlign w:val="center"/>
          </w:tcPr>
          <w:p>
            <w:pPr>
              <w:pStyle w:val="TableContents"/>
              <w:bidi w:val="0"/>
              <w:spacing w:before="0" w:after="283"/>
              <w:jc w:val="left"/>
              <w:rPr/>
            </w:pPr>
            <w:r>
              <w:rPr/>
              <w:t>Section 2.08</w:t>
            </w:r>
          </w:p>
        </w:tc>
        <w:tc>
          <w:tcPr>
            <w:tcW w:w="3725" w:type="dxa"/>
            <w:tcBorders/>
            <w:vAlign w:val="center"/>
          </w:tcPr>
          <w:p>
            <w:pPr>
              <w:pStyle w:val="TableContents"/>
              <w:bidi w:val="0"/>
              <w:spacing w:before="0" w:after="283"/>
              <w:jc w:val="left"/>
              <w:rPr/>
            </w:pPr>
            <w:r>
              <w:rPr/>
              <w:t>Outstanding Notes</w:t>
            </w:r>
          </w:p>
        </w:tc>
        <w:tc>
          <w:tcPr>
            <w:tcW w:w="275" w:type="dxa"/>
            <w:tcBorders/>
            <w:vAlign w:val="center"/>
          </w:tcPr>
          <w:p>
            <w:pPr>
              <w:pStyle w:val="TableContents"/>
              <w:bidi w:val="0"/>
              <w:spacing w:before="0" w:after="283"/>
              <w:jc w:val="right"/>
              <w:rPr/>
            </w:pPr>
            <w:r>
              <w:rPr/>
              <w:t>46</w:t>
            </w:r>
          </w:p>
        </w:tc>
      </w:tr>
      <w:tr>
        <w:trPr/>
        <w:tc>
          <w:tcPr>
            <w:tcW w:w="1220" w:type="dxa"/>
            <w:tcBorders/>
            <w:vAlign w:val="center"/>
          </w:tcPr>
          <w:p>
            <w:pPr>
              <w:pStyle w:val="TableContents"/>
              <w:bidi w:val="0"/>
              <w:spacing w:before="0" w:after="283"/>
              <w:jc w:val="left"/>
              <w:rPr/>
            </w:pPr>
            <w:r>
              <w:rPr/>
              <w:t>Section 2.09</w:t>
            </w:r>
          </w:p>
        </w:tc>
        <w:tc>
          <w:tcPr>
            <w:tcW w:w="3725" w:type="dxa"/>
            <w:tcBorders/>
            <w:vAlign w:val="center"/>
          </w:tcPr>
          <w:p>
            <w:pPr>
              <w:pStyle w:val="TableContents"/>
              <w:bidi w:val="0"/>
              <w:spacing w:before="0" w:after="283"/>
              <w:jc w:val="left"/>
              <w:rPr/>
            </w:pPr>
            <w:r>
              <w:rPr/>
              <w:t>Treasury Notes</w:t>
            </w:r>
          </w:p>
        </w:tc>
        <w:tc>
          <w:tcPr>
            <w:tcW w:w="275" w:type="dxa"/>
            <w:tcBorders/>
            <w:vAlign w:val="center"/>
          </w:tcPr>
          <w:p>
            <w:pPr>
              <w:pStyle w:val="TableContents"/>
              <w:bidi w:val="0"/>
              <w:spacing w:before="0" w:after="283"/>
              <w:jc w:val="right"/>
              <w:rPr/>
            </w:pPr>
            <w:r>
              <w:rPr/>
              <w:t>47</w:t>
            </w:r>
          </w:p>
        </w:tc>
      </w:tr>
      <w:tr>
        <w:trPr/>
        <w:tc>
          <w:tcPr>
            <w:tcW w:w="1220" w:type="dxa"/>
            <w:tcBorders/>
            <w:vAlign w:val="center"/>
          </w:tcPr>
          <w:p>
            <w:pPr>
              <w:pStyle w:val="TableContents"/>
              <w:bidi w:val="0"/>
              <w:spacing w:before="0" w:after="283"/>
              <w:jc w:val="left"/>
              <w:rPr/>
            </w:pPr>
            <w:r>
              <w:rPr/>
              <w:t>Section 2.10</w:t>
            </w:r>
          </w:p>
        </w:tc>
        <w:tc>
          <w:tcPr>
            <w:tcW w:w="3725" w:type="dxa"/>
            <w:tcBorders/>
            <w:vAlign w:val="center"/>
          </w:tcPr>
          <w:p>
            <w:pPr>
              <w:pStyle w:val="TableContents"/>
              <w:bidi w:val="0"/>
              <w:spacing w:before="0" w:after="283"/>
              <w:jc w:val="left"/>
              <w:rPr/>
            </w:pPr>
            <w:r>
              <w:rPr/>
              <w:t>Temporary Notes</w:t>
            </w:r>
          </w:p>
        </w:tc>
        <w:tc>
          <w:tcPr>
            <w:tcW w:w="275" w:type="dxa"/>
            <w:tcBorders/>
            <w:vAlign w:val="center"/>
          </w:tcPr>
          <w:p>
            <w:pPr>
              <w:pStyle w:val="TableContents"/>
              <w:bidi w:val="0"/>
              <w:spacing w:before="0" w:after="283"/>
              <w:jc w:val="right"/>
              <w:rPr/>
            </w:pPr>
            <w:r>
              <w:rPr/>
              <w:t>47</w:t>
            </w:r>
          </w:p>
        </w:tc>
      </w:tr>
      <w:tr>
        <w:trPr/>
        <w:tc>
          <w:tcPr>
            <w:tcW w:w="1220" w:type="dxa"/>
            <w:tcBorders/>
            <w:vAlign w:val="center"/>
          </w:tcPr>
          <w:p>
            <w:pPr>
              <w:pStyle w:val="TableContents"/>
              <w:bidi w:val="0"/>
              <w:spacing w:before="0" w:after="283"/>
              <w:jc w:val="left"/>
              <w:rPr/>
            </w:pPr>
            <w:r>
              <w:rPr/>
              <w:t>Section 2.11</w:t>
            </w:r>
          </w:p>
        </w:tc>
        <w:tc>
          <w:tcPr>
            <w:tcW w:w="3725" w:type="dxa"/>
            <w:tcBorders/>
            <w:vAlign w:val="center"/>
          </w:tcPr>
          <w:p>
            <w:pPr>
              <w:pStyle w:val="TableContents"/>
              <w:bidi w:val="0"/>
              <w:spacing w:before="0" w:after="283"/>
              <w:jc w:val="left"/>
              <w:rPr/>
            </w:pPr>
            <w:r>
              <w:rPr/>
              <w:t>Cancellation</w:t>
            </w:r>
          </w:p>
        </w:tc>
        <w:tc>
          <w:tcPr>
            <w:tcW w:w="275" w:type="dxa"/>
            <w:tcBorders/>
            <w:vAlign w:val="center"/>
          </w:tcPr>
          <w:p>
            <w:pPr>
              <w:pStyle w:val="TableContents"/>
              <w:bidi w:val="0"/>
              <w:spacing w:before="0" w:after="283"/>
              <w:jc w:val="right"/>
              <w:rPr/>
            </w:pPr>
            <w:r>
              <w:rPr/>
              <w:t>47</w:t>
            </w:r>
          </w:p>
        </w:tc>
      </w:tr>
      <w:tr>
        <w:trPr/>
        <w:tc>
          <w:tcPr>
            <w:tcW w:w="1220" w:type="dxa"/>
            <w:tcBorders/>
            <w:vAlign w:val="center"/>
          </w:tcPr>
          <w:p>
            <w:pPr>
              <w:pStyle w:val="TableContents"/>
              <w:bidi w:val="0"/>
              <w:spacing w:before="0" w:after="283"/>
              <w:jc w:val="left"/>
              <w:rPr/>
            </w:pPr>
            <w:r>
              <w:rPr/>
              <w:t>Section 2.12</w:t>
            </w:r>
          </w:p>
        </w:tc>
        <w:tc>
          <w:tcPr>
            <w:tcW w:w="3725" w:type="dxa"/>
            <w:tcBorders/>
            <w:vAlign w:val="center"/>
          </w:tcPr>
          <w:p>
            <w:pPr>
              <w:pStyle w:val="TableContents"/>
              <w:bidi w:val="0"/>
              <w:spacing w:before="0" w:after="283"/>
              <w:jc w:val="left"/>
              <w:rPr/>
            </w:pPr>
            <w:r>
              <w:rPr/>
              <w:t>Defaulted Interest</w:t>
            </w:r>
          </w:p>
        </w:tc>
        <w:tc>
          <w:tcPr>
            <w:tcW w:w="275" w:type="dxa"/>
            <w:tcBorders/>
            <w:vAlign w:val="center"/>
          </w:tcPr>
          <w:p>
            <w:pPr>
              <w:pStyle w:val="TableContents"/>
              <w:bidi w:val="0"/>
              <w:spacing w:before="0" w:after="283"/>
              <w:jc w:val="right"/>
              <w:rPr/>
            </w:pPr>
            <w:r>
              <w:rPr/>
              <w:t>47</w:t>
            </w:r>
          </w:p>
        </w:tc>
      </w:tr>
      <w:tr>
        <w:trPr/>
        <w:tc>
          <w:tcPr>
            <w:tcW w:w="1220" w:type="dxa"/>
            <w:tcBorders/>
            <w:vAlign w:val="center"/>
          </w:tcPr>
          <w:p>
            <w:pPr>
              <w:pStyle w:val="TableContents"/>
              <w:bidi w:val="0"/>
              <w:spacing w:before="0" w:after="283"/>
              <w:jc w:val="left"/>
              <w:rPr/>
            </w:pPr>
            <w:r>
              <w:rPr/>
              <w:t>Section 2.13</w:t>
            </w:r>
          </w:p>
        </w:tc>
        <w:tc>
          <w:tcPr>
            <w:tcW w:w="3725" w:type="dxa"/>
            <w:tcBorders/>
            <w:vAlign w:val="center"/>
          </w:tcPr>
          <w:p>
            <w:pPr>
              <w:pStyle w:val="TableContents"/>
              <w:bidi w:val="0"/>
              <w:spacing w:before="0" w:after="283"/>
              <w:jc w:val="left"/>
              <w:rPr/>
            </w:pPr>
            <w:r>
              <w:rPr/>
              <w:t>CUSIP or ISIN Numbers</w:t>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br/>
        <w:t>REDEMPTION</w:t>
      </w:r>
    </w:p>
    <w:p>
      <w:pPr>
        <w:pStyle w:val="TextBody"/>
        <w:bidi w:val="0"/>
        <w:spacing w:before="0" w:after="0"/>
        <w:ind w:left="0" w:right="0" w:hanging="0"/>
        <w:jc w:val="center"/>
        <w:rPr>
          <w:caps/>
        </w:rPr>
      </w:pPr>
      <w:r>
        <w:rPr>
          <w:caps/>
        </w:rPr>
        <w:t> </w:t>
      </w:r>
    </w:p>
    <w:tbl>
      <w:tblPr>
        <w:tblW w:w="6975" w:type="dxa"/>
        <w:jc w:val="left"/>
        <w:tblInd w:w="0" w:type="dxa"/>
        <w:tblLayout w:type="fixed"/>
        <w:tblCellMar>
          <w:top w:w="0" w:type="dxa"/>
          <w:left w:w="0" w:type="dxa"/>
          <w:bottom w:w="0" w:type="dxa"/>
          <w:right w:w="0" w:type="dxa"/>
        </w:tblCellMar>
      </w:tblPr>
      <w:tblGrid>
        <w:gridCol w:w="1220"/>
        <w:gridCol w:w="5480"/>
        <w:gridCol w:w="275"/>
      </w:tblGrid>
      <w:tr>
        <w:trPr/>
        <w:tc>
          <w:tcPr>
            <w:tcW w:w="1220" w:type="dxa"/>
            <w:tcBorders/>
            <w:vAlign w:val="center"/>
          </w:tcPr>
          <w:p>
            <w:pPr>
              <w:pStyle w:val="TableContents"/>
              <w:bidi w:val="0"/>
              <w:spacing w:before="0" w:after="283"/>
              <w:jc w:val="left"/>
              <w:rPr/>
            </w:pPr>
            <w:r>
              <w:rPr/>
              <w:t>Section 3.01</w:t>
            </w:r>
          </w:p>
        </w:tc>
        <w:tc>
          <w:tcPr>
            <w:tcW w:w="5480" w:type="dxa"/>
            <w:tcBorders/>
            <w:vAlign w:val="center"/>
          </w:tcPr>
          <w:p>
            <w:pPr>
              <w:pStyle w:val="TableContents"/>
              <w:bidi w:val="0"/>
              <w:spacing w:before="0" w:after="283"/>
              <w:jc w:val="left"/>
              <w:rPr/>
            </w:pPr>
            <w:r>
              <w:rPr/>
              <w:t>Notices To Trustee</w:t>
            </w:r>
          </w:p>
        </w:tc>
        <w:tc>
          <w:tcPr>
            <w:tcW w:w="275" w:type="dxa"/>
            <w:tcBorders/>
            <w:vAlign w:val="center"/>
          </w:tcPr>
          <w:p>
            <w:pPr>
              <w:pStyle w:val="TableContents"/>
              <w:bidi w:val="0"/>
              <w:spacing w:before="0" w:after="283"/>
              <w:jc w:val="right"/>
              <w:rPr/>
            </w:pPr>
            <w:r>
              <w:rPr/>
              <w:t>48</w:t>
            </w:r>
          </w:p>
        </w:tc>
      </w:tr>
      <w:tr>
        <w:trPr/>
        <w:tc>
          <w:tcPr>
            <w:tcW w:w="1220" w:type="dxa"/>
            <w:tcBorders/>
            <w:vAlign w:val="center"/>
          </w:tcPr>
          <w:p>
            <w:pPr>
              <w:pStyle w:val="TableContents"/>
              <w:bidi w:val="0"/>
              <w:spacing w:before="0" w:after="283"/>
              <w:jc w:val="left"/>
              <w:rPr/>
            </w:pPr>
            <w:r>
              <w:rPr/>
              <w:t>Section 3.02</w:t>
            </w:r>
          </w:p>
        </w:tc>
        <w:tc>
          <w:tcPr>
            <w:tcW w:w="5480" w:type="dxa"/>
            <w:tcBorders/>
            <w:vAlign w:val="center"/>
          </w:tcPr>
          <w:p>
            <w:pPr>
              <w:pStyle w:val="TableContents"/>
              <w:bidi w:val="0"/>
              <w:spacing w:before="0" w:after="283"/>
              <w:jc w:val="left"/>
              <w:rPr/>
            </w:pPr>
            <w:r>
              <w:rPr/>
              <w:t>Selection of Notes To Be Redeemed or Purchased</w:t>
            </w:r>
          </w:p>
        </w:tc>
        <w:tc>
          <w:tcPr>
            <w:tcW w:w="275" w:type="dxa"/>
            <w:tcBorders/>
            <w:vAlign w:val="center"/>
          </w:tcPr>
          <w:p>
            <w:pPr>
              <w:pStyle w:val="TableContents"/>
              <w:bidi w:val="0"/>
              <w:spacing w:before="0" w:after="283"/>
              <w:jc w:val="right"/>
              <w:rPr/>
            </w:pPr>
            <w:r>
              <w:rPr/>
              <w:t>48</w:t>
            </w:r>
          </w:p>
        </w:tc>
      </w:tr>
      <w:tr>
        <w:trPr/>
        <w:tc>
          <w:tcPr>
            <w:tcW w:w="1220" w:type="dxa"/>
            <w:tcBorders/>
            <w:vAlign w:val="center"/>
          </w:tcPr>
          <w:p>
            <w:pPr>
              <w:pStyle w:val="TableContents"/>
              <w:bidi w:val="0"/>
              <w:spacing w:before="0" w:after="283"/>
              <w:jc w:val="left"/>
              <w:rPr/>
            </w:pPr>
            <w:r>
              <w:rPr/>
              <w:t>Section 3.03</w:t>
            </w:r>
          </w:p>
        </w:tc>
        <w:tc>
          <w:tcPr>
            <w:tcW w:w="5480" w:type="dxa"/>
            <w:tcBorders/>
            <w:vAlign w:val="center"/>
          </w:tcPr>
          <w:p>
            <w:pPr>
              <w:pStyle w:val="TableContents"/>
              <w:bidi w:val="0"/>
              <w:spacing w:before="0" w:after="283"/>
              <w:jc w:val="left"/>
              <w:rPr/>
            </w:pPr>
            <w:r>
              <w:rPr/>
              <w:t>Notice of Redemption</w:t>
            </w:r>
          </w:p>
        </w:tc>
        <w:tc>
          <w:tcPr>
            <w:tcW w:w="275" w:type="dxa"/>
            <w:tcBorders/>
            <w:vAlign w:val="center"/>
          </w:tcPr>
          <w:p>
            <w:pPr>
              <w:pStyle w:val="TableContents"/>
              <w:bidi w:val="0"/>
              <w:spacing w:before="0" w:after="283"/>
              <w:jc w:val="right"/>
              <w:rPr/>
            </w:pPr>
            <w:r>
              <w:rPr/>
              <w:t>49</w:t>
            </w:r>
          </w:p>
        </w:tc>
      </w:tr>
      <w:tr>
        <w:trPr/>
        <w:tc>
          <w:tcPr>
            <w:tcW w:w="1220" w:type="dxa"/>
            <w:tcBorders/>
            <w:vAlign w:val="center"/>
          </w:tcPr>
          <w:p>
            <w:pPr>
              <w:pStyle w:val="TableContents"/>
              <w:bidi w:val="0"/>
              <w:spacing w:before="0" w:after="283"/>
              <w:jc w:val="left"/>
              <w:rPr/>
            </w:pPr>
            <w:r>
              <w:rPr/>
              <w:t>Section 3.04</w:t>
            </w:r>
          </w:p>
        </w:tc>
        <w:tc>
          <w:tcPr>
            <w:tcW w:w="5480" w:type="dxa"/>
            <w:tcBorders/>
            <w:vAlign w:val="center"/>
          </w:tcPr>
          <w:p>
            <w:pPr>
              <w:pStyle w:val="TableContents"/>
              <w:bidi w:val="0"/>
              <w:spacing w:before="0" w:after="283"/>
              <w:jc w:val="left"/>
              <w:rPr/>
            </w:pPr>
            <w:r>
              <w:rPr/>
              <w:t>Effect of Notice of Redemption</w:t>
            </w:r>
          </w:p>
        </w:tc>
        <w:tc>
          <w:tcPr>
            <w:tcW w:w="275" w:type="dxa"/>
            <w:tcBorders/>
            <w:vAlign w:val="center"/>
          </w:tcPr>
          <w:p>
            <w:pPr>
              <w:pStyle w:val="TableContents"/>
              <w:bidi w:val="0"/>
              <w:spacing w:before="0" w:after="283"/>
              <w:jc w:val="right"/>
              <w:rPr/>
            </w:pPr>
            <w:r>
              <w:rPr/>
              <w:t>50</w:t>
            </w:r>
          </w:p>
        </w:tc>
      </w:tr>
      <w:tr>
        <w:trPr/>
        <w:tc>
          <w:tcPr>
            <w:tcW w:w="1220" w:type="dxa"/>
            <w:tcBorders/>
            <w:vAlign w:val="center"/>
          </w:tcPr>
          <w:p>
            <w:pPr>
              <w:pStyle w:val="TableContents"/>
              <w:bidi w:val="0"/>
              <w:spacing w:before="0" w:after="283"/>
              <w:jc w:val="left"/>
              <w:rPr/>
            </w:pPr>
            <w:r>
              <w:rPr/>
              <w:t>Section 3.05</w:t>
            </w:r>
          </w:p>
        </w:tc>
        <w:tc>
          <w:tcPr>
            <w:tcW w:w="5480" w:type="dxa"/>
            <w:tcBorders/>
            <w:vAlign w:val="center"/>
          </w:tcPr>
          <w:p>
            <w:pPr>
              <w:pStyle w:val="TableContents"/>
              <w:bidi w:val="0"/>
              <w:spacing w:before="0" w:after="283"/>
              <w:jc w:val="left"/>
              <w:rPr/>
            </w:pPr>
            <w:r>
              <w:rPr/>
              <w:t>Deposit of Redemption or Purchase Price</w:t>
            </w:r>
          </w:p>
        </w:tc>
        <w:tc>
          <w:tcPr>
            <w:tcW w:w="275" w:type="dxa"/>
            <w:tcBorders/>
            <w:vAlign w:val="center"/>
          </w:tcPr>
          <w:p>
            <w:pPr>
              <w:pStyle w:val="TableContents"/>
              <w:bidi w:val="0"/>
              <w:spacing w:before="0" w:after="283"/>
              <w:jc w:val="right"/>
              <w:rPr/>
            </w:pPr>
            <w:r>
              <w:rPr/>
              <w:t>50</w:t>
            </w:r>
          </w:p>
        </w:tc>
      </w:tr>
      <w:tr>
        <w:trPr/>
        <w:tc>
          <w:tcPr>
            <w:tcW w:w="1220" w:type="dxa"/>
            <w:tcBorders/>
            <w:vAlign w:val="center"/>
          </w:tcPr>
          <w:p>
            <w:pPr>
              <w:pStyle w:val="TableContents"/>
              <w:bidi w:val="0"/>
              <w:spacing w:before="0" w:after="283"/>
              <w:jc w:val="left"/>
              <w:rPr/>
            </w:pPr>
            <w:r>
              <w:rPr/>
              <w:t>Section 3.06</w:t>
            </w:r>
          </w:p>
        </w:tc>
        <w:tc>
          <w:tcPr>
            <w:tcW w:w="5480" w:type="dxa"/>
            <w:tcBorders/>
            <w:vAlign w:val="center"/>
          </w:tcPr>
          <w:p>
            <w:pPr>
              <w:pStyle w:val="TableContents"/>
              <w:bidi w:val="0"/>
              <w:spacing w:before="0" w:after="283"/>
              <w:jc w:val="left"/>
              <w:rPr/>
            </w:pPr>
            <w:r>
              <w:rPr/>
              <w:t>Notes Redeemed or Purchased in Part</w:t>
            </w:r>
          </w:p>
        </w:tc>
        <w:tc>
          <w:tcPr>
            <w:tcW w:w="275" w:type="dxa"/>
            <w:tcBorders/>
            <w:vAlign w:val="center"/>
          </w:tcPr>
          <w:p>
            <w:pPr>
              <w:pStyle w:val="TableContents"/>
              <w:bidi w:val="0"/>
              <w:spacing w:before="0" w:after="283"/>
              <w:jc w:val="right"/>
              <w:rPr/>
            </w:pPr>
            <w:r>
              <w:rPr/>
              <w:t>51</w:t>
            </w:r>
          </w:p>
        </w:tc>
      </w:tr>
      <w:tr>
        <w:trPr/>
        <w:tc>
          <w:tcPr>
            <w:tcW w:w="1220" w:type="dxa"/>
            <w:tcBorders/>
            <w:vAlign w:val="center"/>
          </w:tcPr>
          <w:p>
            <w:pPr>
              <w:pStyle w:val="TableContents"/>
              <w:bidi w:val="0"/>
              <w:spacing w:before="0" w:after="283"/>
              <w:jc w:val="left"/>
              <w:rPr/>
            </w:pPr>
            <w:r>
              <w:rPr/>
              <w:t>Section 3.07</w:t>
            </w:r>
          </w:p>
        </w:tc>
        <w:tc>
          <w:tcPr>
            <w:tcW w:w="5480" w:type="dxa"/>
            <w:tcBorders/>
            <w:vAlign w:val="center"/>
          </w:tcPr>
          <w:p>
            <w:pPr>
              <w:pStyle w:val="TableContents"/>
              <w:bidi w:val="0"/>
              <w:spacing w:before="0" w:after="283"/>
              <w:jc w:val="left"/>
              <w:rPr/>
            </w:pPr>
            <w:r>
              <w:rPr/>
              <w:t>Optional Redemption</w:t>
            </w:r>
          </w:p>
        </w:tc>
        <w:tc>
          <w:tcPr>
            <w:tcW w:w="275" w:type="dxa"/>
            <w:tcBorders/>
            <w:vAlign w:val="center"/>
          </w:tcPr>
          <w:p>
            <w:pPr>
              <w:pStyle w:val="TableContents"/>
              <w:bidi w:val="0"/>
              <w:spacing w:before="0" w:after="283"/>
              <w:jc w:val="right"/>
              <w:rPr/>
            </w:pPr>
            <w:r>
              <w:rPr/>
              <w:t>51</w:t>
            </w:r>
          </w:p>
        </w:tc>
      </w:tr>
      <w:tr>
        <w:trPr/>
        <w:tc>
          <w:tcPr>
            <w:tcW w:w="1220" w:type="dxa"/>
            <w:tcBorders/>
            <w:vAlign w:val="center"/>
          </w:tcPr>
          <w:p>
            <w:pPr>
              <w:pStyle w:val="TableContents"/>
              <w:bidi w:val="0"/>
              <w:spacing w:before="0" w:after="283"/>
              <w:jc w:val="left"/>
              <w:rPr/>
            </w:pPr>
            <w:r>
              <w:rPr/>
              <w:t>Section 3.08</w:t>
            </w:r>
          </w:p>
        </w:tc>
        <w:tc>
          <w:tcPr>
            <w:tcW w:w="5480" w:type="dxa"/>
            <w:tcBorders/>
            <w:vAlign w:val="center"/>
          </w:tcPr>
          <w:p>
            <w:pPr>
              <w:pStyle w:val="TableContents"/>
              <w:bidi w:val="0"/>
              <w:spacing w:before="0" w:after="283"/>
              <w:jc w:val="left"/>
              <w:rPr/>
            </w:pPr>
            <w:r>
              <w:rPr/>
              <w:t>Mandatory Redemption</w:t>
            </w:r>
          </w:p>
        </w:tc>
        <w:tc>
          <w:tcPr>
            <w:tcW w:w="275" w:type="dxa"/>
            <w:tcBorders/>
            <w:vAlign w:val="center"/>
          </w:tcPr>
          <w:p>
            <w:pPr>
              <w:pStyle w:val="TableContents"/>
              <w:bidi w:val="0"/>
              <w:spacing w:before="0" w:after="283"/>
              <w:jc w:val="right"/>
              <w:rPr/>
            </w:pPr>
            <w:r>
              <w:rPr/>
              <w:t>52</w:t>
            </w:r>
          </w:p>
        </w:tc>
      </w:tr>
      <w:tr>
        <w:trPr/>
        <w:tc>
          <w:tcPr>
            <w:tcW w:w="1220" w:type="dxa"/>
            <w:tcBorders/>
            <w:vAlign w:val="center"/>
          </w:tcPr>
          <w:p>
            <w:pPr>
              <w:pStyle w:val="TableContents"/>
              <w:bidi w:val="0"/>
              <w:spacing w:before="0" w:after="283"/>
              <w:jc w:val="left"/>
              <w:rPr/>
            </w:pPr>
            <w:r>
              <w:rPr/>
              <w:t>Section 3.09</w:t>
            </w:r>
          </w:p>
        </w:tc>
        <w:tc>
          <w:tcPr>
            <w:tcW w:w="5480" w:type="dxa"/>
            <w:tcBorders/>
            <w:vAlign w:val="center"/>
          </w:tcPr>
          <w:p>
            <w:pPr>
              <w:pStyle w:val="TableContents"/>
              <w:bidi w:val="0"/>
              <w:spacing w:before="0" w:after="283"/>
              <w:jc w:val="left"/>
              <w:rPr/>
            </w:pPr>
            <w:r>
              <w:rPr/>
              <w:t>Offers To Repurchase by Application of Excess Proceeds</w:t>
            </w:r>
          </w:p>
        </w:tc>
        <w:tc>
          <w:tcPr>
            <w:tcW w:w="275" w:type="dxa"/>
            <w:tcBorders/>
            <w:vAlign w:val="center"/>
          </w:tcPr>
          <w:p>
            <w:pPr>
              <w:pStyle w:val="TableContents"/>
              <w:bidi w:val="0"/>
              <w:spacing w:before="0" w:after="283"/>
              <w:jc w:val="right"/>
              <w:rPr/>
            </w:pPr>
            <w:r>
              <w:rPr/>
              <w:t>52</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60" w:type="dxa"/>
        <w:jc w:val="left"/>
        <w:tblInd w:w="0" w:type="dxa"/>
        <w:tblLayout w:type="fixed"/>
        <w:tblCellMar>
          <w:top w:w="0" w:type="dxa"/>
          <w:left w:w="0" w:type="dxa"/>
          <w:bottom w:w="0" w:type="dxa"/>
          <w:right w:w="0" w:type="dxa"/>
        </w:tblCellMar>
      </w:tblPr>
      <w:tblGrid>
        <w:gridCol w:w="75"/>
        <w:gridCol w:w="60"/>
        <w:gridCol w:w="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br/>
        <w:t>COVENANTS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192"/>
        <w:gridCol w:w="8737"/>
        <w:gridCol w:w="276"/>
      </w:tblGrid>
      <w:tr>
        <w:trPr/>
        <w:tc>
          <w:tcPr>
            <w:tcW w:w="1192" w:type="dxa"/>
            <w:tcBorders/>
            <w:vAlign w:val="center"/>
          </w:tcPr>
          <w:p>
            <w:pPr>
              <w:pStyle w:val="TableContents"/>
              <w:bidi w:val="0"/>
              <w:spacing w:before="0" w:after="283"/>
              <w:jc w:val="left"/>
              <w:rPr/>
            </w:pPr>
            <w:r>
              <w:rPr/>
              <w:t>Section 4.01</w:t>
            </w:r>
          </w:p>
        </w:tc>
        <w:tc>
          <w:tcPr>
            <w:tcW w:w="8737" w:type="dxa"/>
            <w:tcBorders/>
            <w:vAlign w:val="center"/>
          </w:tcPr>
          <w:p>
            <w:pPr>
              <w:pStyle w:val="TableContents"/>
              <w:bidi w:val="0"/>
              <w:spacing w:before="0" w:after="283"/>
              <w:jc w:val="left"/>
              <w:rPr/>
            </w:pPr>
            <w:r>
              <w:rPr/>
              <w:t>Payment of Notes</w:t>
            </w:r>
          </w:p>
        </w:tc>
        <w:tc>
          <w:tcPr>
            <w:tcW w:w="276" w:type="dxa"/>
            <w:tcBorders/>
            <w:vAlign w:val="center"/>
          </w:tcPr>
          <w:p>
            <w:pPr>
              <w:pStyle w:val="TableContents"/>
              <w:bidi w:val="0"/>
              <w:spacing w:before="0" w:after="283"/>
              <w:jc w:val="right"/>
              <w:rPr/>
            </w:pPr>
            <w:r>
              <w:rPr/>
              <w:t>53</w:t>
            </w:r>
          </w:p>
        </w:tc>
      </w:tr>
      <w:tr>
        <w:trPr/>
        <w:tc>
          <w:tcPr>
            <w:tcW w:w="1192" w:type="dxa"/>
            <w:tcBorders/>
            <w:vAlign w:val="center"/>
          </w:tcPr>
          <w:p>
            <w:pPr>
              <w:pStyle w:val="TableContents"/>
              <w:bidi w:val="0"/>
              <w:spacing w:before="0" w:after="283"/>
              <w:jc w:val="left"/>
              <w:rPr/>
            </w:pPr>
            <w:r>
              <w:rPr/>
              <w:t>Section 4.02</w:t>
            </w:r>
          </w:p>
        </w:tc>
        <w:tc>
          <w:tcPr>
            <w:tcW w:w="8737" w:type="dxa"/>
            <w:tcBorders/>
            <w:vAlign w:val="center"/>
          </w:tcPr>
          <w:p>
            <w:pPr>
              <w:pStyle w:val="TableContents"/>
              <w:bidi w:val="0"/>
              <w:spacing w:before="0" w:after="283"/>
              <w:jc w:val="left"/>
              <w:rPr/>
            </w:pPr>
            <w:r>
              <w:rPr/>
              <w:t>Maintenance of Office or Agency</w:t>
            </w:r>
          </w:p>
        </w:tc>
        <w:tc>
          <w:tcPr>
            <w:tcW w:w="276" w:type="dxa"/>
            <w:tcBorders/>
            <w:vAlign w:val="center"/>
          </w:tcPr>
          <w:p>
            <w:pPr>
              <w:pStyle w:val="TableContents"/>
              <w:bidi w:val="0"/>
              <w:spacing w:before="0" w:after="283"/>
              <w:jc w:val="right"/>
              <w:rPr/>
            </w:pPr>
            <w:r>
              <w:rPr/>
              <w:t>54</w:t>
            </w:r>
          </w:p>
        </w:tc>
      </w:tr>
      <w:tr>
        <w:trPr/>
        <w:tc>
          <w:tcPr>
            <w:tcW w:w="1192" w:type="dxa"/>
            <w:tcBorders/>
            <w:vAlign w:val="center"/>
          </w:tcPr>
          <w:p>
            <w:pPr>
              <w:pStyle w:val="TableContents"/>
              <w:bidi w:val="0"/>
              <w:spacing w:before="0" w:after="283"/>
              <w:jc w:val="left"/>
              <w:rPr/>
            </w:pPr>
            <w:r>
              <w:rPr/>
              <w:t>Section 4.03</w:t>
            </w:r>
          </w:p>
        </w:tc>
        <w:tc>
          <w:tcPr>
            <w:tcW w:w="8737" w:type="dxa"/>
            <w:tcBorders/>
            <w:vAlign w:val="center"/>
          </w:tcPr>
          <w:p>
            <w:pPr>
              <w:pStyle w:val="TableContents"/>
              <w:bidi w:val="0"/>
              <w:spacing w:before="0" w:after="283"/>
              <w:jc w:val="left"/>
              <w:rPr/>
            </w:pPr>
            <w:r>
              <w:rPr/>
              <w:t>Reports and Other Information</w:t>
            </w:r>
          </w:p>
        </w:tc>
        <w:tc>
          <w:tcPr>
            <w:tcW w:w="276" w:type="dxa"/>
            <w:tcBorders/>
            <w:vAlign w:val="center"/>
          </w:tcPr>
          <w:p>
            <w:pPr>
              <w:pStyle w:val="TableContents"/>
              <w:bidi w:val="0"/>
              <w:spacing w:before="0" w:after="283"/>
              <w:jc w:val="right"/>
              <w:rPr/>
            </w:pPr>
            <w:r>
              <w:rPr/>
              <w:t>54</w:t>
            </w:r>
          </w:p>
        </w:tc>
      </w:tr>
      <w:tr>
        <w:trPr/>
        <w:tc>
          <w:tcPr>
            <w:tcW w:w="1192" w:type="dxa"/>
            <w:tcBorders/>
            <w:vAlign w:val="center"/>
          </w:tcPr>
          <w:p>
            <w:pPr>
              <w:pStyle w:val="TableContents"/>
              <w:bidi w:val="0"/>
              <w:spacing w:before="0" w:after="283"/>
              <w:jc w:val="left"/>
              <w:rPr/>
            </w:pPr>
            <w:r>
              <w:rPr/>
              <w:t>Section 4.04</w:t>
            </w:r>
          </w:p>
        </w:tc>
        <w:tc>
          <w:tcPr>
            <w:tcW w:w="8737" w:type="dxa"/>
            <w:tcBorders/>
            <w:vAlign w:val="center"/>
          </w:tcPr>
          <w:p>
            <w:pPr>
              <w:pStyle w:val="TableContents"/>
              <w:bidi w:val="0"/>
              <w:spacing w:before="0" w:after="283"/>
              <w:jc w:val="left"/>
              <w:rPr/>
            </w:pPr>
            <w:r>
              <w:rPr/>
              <w:t>Compliance Certificate</w:t>
            </w:r>
          </w:p>
        </w:tc>
        <w:tc>
          <w:tcPr>
            <w:tcW w:w="276" w:type="dxa"/>
            <w:tcBorders/>
            <w:vAlign w:val="center"/>
          </w:tcPr>
          <w:p>
            <w:pPr>
              <w:pStyle w:val="TableContents"/>
              <w:bidi w:val="0"/>
              <w:spacing w:before="0" w:after="283"/>
              <w:jc w:val="right"/>
              <w:rPr/>
            </w:pPr>
            <w:r>
              <w:rPr/>
              <w:t>55</w:t>
            </w:r>
          </w:p>
        </w:tc>
      </w:tr>
      <w:tr>
        <w:trPr/>
        <w:tc>
          <w:tcPr>
            <w:tcW w:w="1192" w:type="dxa"/>
            <w:tcBorders/>
            <w:vAlign w:val="center"/>
          </w:tcPr>
          <w:p>
            <w:pPr>
              <w:pStyle w:val="TableContents"/>
              <w:bidi w:val="0"/>
              <w:spacing w:before="0" w:after="283"/>
              <w:jc w:val="left"/>
              <w:rPr/>
            </w:pPr>
            <w:r>
              <w:rPr/>
              <w:t>Section 4.05</w:t>
            </w:r>
          </w:p>
        </w:tc>
        <w:tc>
          <w:tcPr>
            <w:tcW w:w="8737" w:type="dxa"/>
            <w:tcBorders/>
            <w:vAlign w:val="center"/>
          </w:tcPr>
          <w:p>
            <w:pPr>
              <w:pStyle w:val="TableContents"/>
              <w:bidi w:val="0"/>
              <w:spacing w:before="0" w:after="283"/>
              <w:jc w:val="left"/>
              <w:rPr/>
            </w:pPr>
            <w:r>
              <w:rPr/>
              <w:t>Taxes</w:t>
            </w:r>
          </w:p>
        </w:tc>
        <w:tc>
          <w:tcPr>
            <w:tcW w:w="276" w:type="dxa"/>
            <w:tcBorders/>
            <w:vAlign w:val="center"/>
          </w:tcPr>
          <w:p>
            <w:pPr>
              <w:pStyle w:val="TableContents"/>
              <w:bidi w:val="0"/>
              <w:spacing w:before="0" w:after="283"/>
              <w:jc w:val="right"/>
              <w:rPr/>
            </w:pPr>
            <w:r>
              <w:rPr/>
              <w:t>55</w:t>
            </w:r>
          </w:p>
        </w:tc>
      </w:tr>
      <w:tr>
        <w:trPr/>
        <w:tc>
          <w:tcPr>
            <w:tcW w:w="1192" w:type="dxa"/>
            <w:tcBorders/>
            <w:vAlign w:val="center"/>
          </w:tcPr>
          <w:p>
            <w:pPr>
              <w:pStyle w:val="TableContents"/>
              <w:bidi w:val="0"/>
              <w:spacing w:before="0" w:after="283"/>
              <w:jc w:val="left"/>
              <w:rPr/>
            </w:pPr>
            <w:r>
              <w:rPr/>
              <w:t>Section 4.06</w:t>
            </w:r>
          </w:p>
        </w:tc>
        <w:tc>
          <w:tcPr>
            <w:tcW w:w="8737" w:type="dxa"/>
            <w:tcBorders/>
            <w:vAlign w:val="center"/>
          </w:tcPr>
          <w:p>
            <w:pPr>
              <w:pStyle w:val="TableContents"/>
              <w:bidi w:val="0"/>
              <w:spacing w:before="0" w:after="283"/>
              <w:jc w:val="left"/>
              <w:rPr/>
            </w:pPr>
            <w:r>
              <w:rPr/>
              <w:t>Stay, Extension and Usury Laws</w:t>
            </w:r>
          </w:p>
        </w:tc>
        <w:tc>
          <w:tcPr>
            <w:tcW w:w="276" w:type="dxa"/>
            <w:tcBorders/>
            <w:vAlign w:val="center"/>
          </w:tcPr>
          <w:p>
            <w:pPr>
              <w:pStyle w:val="TableContents"/>
              <w:bidi w:val="0"/>
              <w:spacing w:before="0" w:after="283"/>
              <w:jc w:val="right"/>
              <w:rPr/>
            </w:pPr>
            <w:r>
              <w:rPr/>
              <w:t>56</w:t>
            </w:r>
          </w:p>
        </w:tc>
      </w:tr>
      <w:tr>
        <w:trPr/>
        <w:tc>
          <w:tcPr>
            <w:tcW w:w="1192" w:type="dxa"/>
            <w:tcBorders/>
            <w:vAlign w:val="center"/>
          </w:tcPr>
          <w:p>
            <w:pPr>
              <w:pStyle w:val="TableContents"/>
              <w:bidi w:val="0"/>
              <w:spacing w:before="0" w:after="283"/>
              <w:jc w:val="left"/>
              <w:rPr/>
            </w:pPr>
            <w:r>
              <w:rPr/>
              <w:t>Section 4.07</w:t>
            </w:r>
          </w:p>
        </w:tc>
        <w:tc>
          <w:tcPr>
            <w:tcW w:w="8737" w:type="dxa"/>
            <w:tcBorders/>
            <w:vAlign w:val="center"/>
          </w:tcPr>
          <w:p>
            <w:pPr>
              <w:pStyle w:val="TableContents"/>
              <w:bidi w:val="0"/>
              <w:spacing w:before="0" w:after="283"/>
              <w:jc w:val="left"/>
              <w:rPr/>
            </w:pPr>
            <w:r>
              <w:rPr/>
              <w:t>Limitation on Investments in Unrestricted Subsidiaries</w:t>
            </w:r>
          </w:p>
        </w:tc>
        <w:tc>
          <w:tcPr>
            <w:tcW w:w="276" w:type="dxa"/>
            <w:tcBorders/>
            <w:vAlign w:val="center"/>
          </w:tcPr>
          <w:p>
            <w:pPr>
              <w:pStyle w:val="TableContents"/>
              <w:bidi w:val="0"/>
              <w:spacing w:before="0" w:after="283"/>
              <w:jc w:val="right"/>
              <w:rPr/>
            </w:pPr>
            <w:r>
              <w:rPr/>
              <w:t>56</w:t>
            </w:r>
          </w:p>
        </w:tc>
      </w:tr>
      <w:tr>
        <w:trPr/>
        <w:tc>
          <w:tcPr>
            <w:tcW w:w="1192" w:type="dxa"/>
            <w:tcBorders/>
            <w:vAlign w:val="center"/>
          </w:tcPr>
          <w:p>
            <w:pPr>
              <w:pStyle w:val="TableContents"/>
              <w:bidi w:val="0"/>
              <w:spacing w:before="0" w:after="283"/>
              <w:jc w:val="left"/>
              <w:rPr/>
            </w:pPr>
            <w:r>
              <w:rPr/>
              <w:t>Section 4.08</w:t>
            </w:r>
          </w:p>
        </w:tc>
        <w:tc>
          <w:tcPr>
            <w:tcW w:w="8737" w:type="dxa"/>
            <w:tcBorders/>
            <w:vAlign w:val="center"/>
          </w:tcPr>
          <w:p>
            <w:pPr>
              <w:pStyle w:val="TableContents"/>
              <w:bidi w:val="0"/>
              <w:spacing w:before="0" w:after="283"/>
              <w:jc w:val="left"/>
              <w:rPr/>
            </w:pPr>
            <w:r>
              <w:rPr/>
              <w:t>Dividend and Other Payment Restrictions Affecting Restricted Subsidiaries</w:t>
            </w:r>
          </w:p>
        </w:tc>
        <w:tc>
          <w:tcPr>
            <w:tcW w:w="276" w:type="dxa"/>
            <w:tcBorders/>
            <w:vAlign w:val="center"/>
          </w:tcPr>
          <w:p>
            <w:pPr>
              <w:pStyle w:val="TableContents"/>
              <w:bidi w:val="0"/>
              <w:spacing w:before="0" w:after="283"/>
              <w:jc w:val="right"/>
              <w:rPr/>
            </w:pPr>
            <w:r>
              <w:rPr/>
              <w:t>56</w:t>
            </w:r>
          </w:p>
        </w:tc>
      </w:tr>
      <w:tr>
        <w:trPr/>
        <w:tc>
          <w:tcPr>
            <w:tcW w:w="1192" w:type="dxa"/>
            <w:tcBorders/>
            <w:vAlign w:val="center"/>
          </w:tcPr>
          <w:p>
            <w:pPr>
              <w:pStyle w:val="TableContents"/>
              <w:bidi w:val="0"/>
              <w:spacing w:before="0" w:after="283"/>
              <w:ind w:left="0" w:right="0" w:hanging="200"/>
              <w:jc w:val="left"/>
              <w:rPr/>
            </w:pPr>
            <w:r>
              <w:rPr/>
              <w:t>Section 4.09</w:t>
            </w:r>
          </w:p>
        </w:tc>
        <w:tc>
          <w:tcPr>
            <w:tcW w:w="8737" w:type="dxa"/>
            <w:tcBorders/>
            <w:vAlign w:val="center"/>
          </w:tcPr>
          <w:p>
            <w:pPr>
              <w:pStyle w:val="TableContents"/>
              <w:bidi w:val="0"/>
              <w:spacing w:before="0" w:after="283"/>
              <w:jc w:val="left"/>
              <w:rPr/>
            </w:pPr>
            <w:r>
              <w:rPr/>
              <w:t>Limitation on Incurrence of Indebtedness and Issuance of Disqualified Stock and Preferred Stock</w:t>
            </w:r>
          </w:p>
        </w:tc>
        <w:tc>
          <w:tcPr>
            <w:tcW w:w="276" w:type="dxa"/>
            <w:tcBorders/>
            <w:vAlign w:val="center"/>
          </w:tcPr>
          <w:p>
            <w:pPr>
              <w:pStyle w:val="TableContents"/>
              <w:bidi w:val="0"/>
              <w:spacing w:before="0" w:after="283"/>
              <w:jc w:val="right"/>
              <w:rPr/>
            </w:pPr>
            <w:r>
              <w:rPr/>
              <w:t>58</w:t>
            </w:r>
          </w:p>
        </w:tc>
      </w:tr>
      <w:tr>
        <w:trPr/>
        <w:tc>
          <w:tcPr>
            <w:tcW w:w="1192" w:type="dxa"/>
            <w:tcBorders/>
            <w:vAlign w:val="center"/>
          </w:tcPr>
          <w:p>
            <w:pPr>
              <w:pStyle w:val="TableContents"/>
              <w:bidi w:val="0"/>
              <w:spacing w:before="0" w:after="283"/>
              <w:jc w:val="left"/>
              <w:rPr/>
            </w:pPr>
            <w:r>
              <w:rPr/>
              <w:t>Section 4.10</w:t>
            </w:r>
          </w:p>
        </w:tc>
        <w:tc>
          <w:tcPr>
            <w:tcW w:w="8737" w:type="dxa"/>
            <w:tcBorders/>
            <w:vAlign w:val="center"/>
          </w:tcPr>
          <w:p>
            <w:pPr>
              <w:pStyle w:val="TableContents"/>
              <w:bidi w:val="0"/>
              <w:spacing w:before="0" w:after="283"/>
              <w:jc w:val="left"/>
              <w:rPr/>
            </w:pPr>
            <w:r>
              <w:rPr/>
              <w:t>Asset Sales</w:t>
            </w:r>
          </w:p>
        </w:tc>
        <w:tc>
          <w:tcPr>
            <w:tcW w:w="276" w:type="dxa"/>
            <w:tcBorders/>
            <w:vAlign w:val="center"/>
          </w:tcPr>
          <w:p>
            <w:pPr>
              <w:pStyle w:val="TableContents"/>
              <w:bidi w:val="0"/>
              <w:spacing w:before="0" w:after="283"/>
              <w:jc w:val="right"/>
              <w:rPr/>
            </w:pPr>
            <w:r>
              <w:rPr/>
              <w:t>63</w:t>
            </w:r>
          </w:p>
        </w:tc>
      </w:tr>
      <w:tr>
        <w:trPr/>
        <w:tc>
          <w:tcPr>
            <w:tcW w:w="1192" w:type="dxa"/>
            <w:tcBorders/>
            <w:vAlign w:val="center"/>
          </w:tcPr>
          <w:p>
            <w:pPr>
              <w:pStyle w:val="TableContents"/>
              <w:bidi w:val="0"/>
              <w:spacing w:before="0" w:after="283"/>
              <w:jc w:val="left"/>
              <w:rPr/>
            </w:pPr>
            <w:r>
              <w:rPr/>
              <w:t>Section 4.11</w:t>
            </w:r>
          </w:p>
        </w:tc>
        <w:tc>
          <w:tcPr>
            <w:tcW w:w="8737" w:type="dxa"/>
            <w:tcBorders/>
            <w:vAlign w:val="center"/>
          </w:tcPr>
          <w:p>
            <w:pPr>
              <w:pStyle w:val="TableContents"/>
              <w:bidi w:val="0"/>
              <w:spacing w:before="0" w:after="283"/>
              <w:jc w:val="left"/>
              <w:rPr/>
            </w:pPr>
            <w:r>
              <w:rPr/>
              <w:t>Transactions with Affiliates</w:t>
            </w:r>
          </w:p>
        </w:tc>
        <w:tc>
          <w:tcPr>
            <w:tcW w:w="276" w:type="dxa"/>
            <w:tcBorders/>
            <w:vAlign w:val="center"/>
          </w:tcPr>
          <w:p>
            <w:pPr>
              <w:pStyle w:val="TableContents"/>
              <w:bidi w:val="0"/>
              <w:spacing w:before="0" w:after="283"/>
              <w:jc w:val="right"/>
              <w:rPr/>
            </w:pPr>
            <w:r>
              <w:rPr/>
              <w:t>65</w:t>
            </w:r>
          </w:p>
        </w:tc>
      </w:tr>
      <w:tr>
        <w:trPr/>
        <w:tc>
          <w:tcPr>
            <w:tcW w:w="1192" w:type="dxa"/>
            <w:tcBorders/>
            <w:vAlign w:val="center"/>
          </w:tcPr>
          <w:p>
            <w:pPr>
              <w:pStyle w:val="TableContents"/>
              <w:bidi w:val="0"/>
              <w:spacing w:before="0" w:after="283"/>
              <w:jc w:val="left"/>
              <w:rPr/>
            </w:pPr>
            <w:r>
              <w:rPr/>
              <w:t>Section 4.12</w:t>
            </w:r>
          </w:p>
        </w:tc>
        <w:tc>
          <w:tcPr>
            <w:tcW w:w="8737" w:type="dxa"/>
            <w:tcBorders/>
            <w:vAlign w:val="center"/>
          </w:tcPr>
          <w:p>
            <w:pPr>
              <w:pStyle w:val="TableContents"/>
              <w:bidi w:val="0"/>
              <w:spacing w:before="0" w:after="283"/>
              <w:jc w:val="left"/>
              <w:rPr/>
            </w:pPr>
            <w:r>
              <w:rPr/>
              <w:t>Liens</w:t>
            </w:r>
          </w:p>
        </w:tc>
        <w:tc>
          <w:tcPr>
            <w:tcW w:w="276" w:type="dxa"/>
            <w:tcBorders/>
            <w:vAlign w:val="center"/>
          </w:tcPr>
          <w:p>
            <w:pPr>
              <w:pStyle w:val="TableContents"/>
              <w:bidi w:val="0"/>
              <w:spacing w:before="0" w:after="283"/>
              <w:jc w:val="right"/>
              <w:rPr/>
            </w:pPr>
            <w:r>
              <w:rPr/>
              <w:t>67</w:t>
            </w:r>
          </w:p>
        </w:tc>
      </w:tr>
      <w:tr>
        <w:trPr/>
        <w:tc>
          <w:tcPr>
            <w:tcW w:w="1192" w:type="dxa"/>
            <w:tcBorders/>
            <w:vAlign w:val="center"/>
          </w:tcPr>
          <w:p>
            <w:pPr>
              <w:pStyle w:val="TableContents"/>
              <w:bidi w:val="0"/>
              <w:spacing w:before="0" w:after="283"/>
              <w:jc w:val="left"/>
              <w:rPr/>
            </w:pPr>
            <w:r>
              <w:rPr/>
              <w:t>Section 4.13</w:t>
            </w:r>
          </w:p>
        </w:tc>
        <w:tc>
          <w:tcPr>
            <w:tcW w:w="8737" w:type="dxa"/>
            <w:tcBorders/>
            <w:vAlign w:val="center"/>
          </w:tcPr>
          <w:p>
            <w:pPr>
              <w:pStyle w:val="TableContents"/>
              <w:bidi w:val="0"/>
              <w:spacing w:before="0" w:after="283"/>
              <w:jc w:val="left"/>
              <w:rPr/>
            </w:pPr>
            <w:r>
              <w:rPr/>
              <w:t>Corporate Existence</w:t>
            </w:r>
          </w:p>
        </w:tc>
        <w:tc>
          <w:tcPr>
            <w:tcW w:w="276" w:type="dxa"/>
            <w:tcBorders/>
            <w:vAlign w:val="center"/>
          </w:tcPr>
          <w:p>
            <w:pPr>
              <w:pStyle w:val="TableContents"/>
              <w:bidi w:val="0"/>
              <w:spacing w:before="0" w:after="283"/>
              <w:jc w:val="right"/>
              <w:rPr/>
            </w:pPr>
            <w:r>
              <w:rPr/>
              <w:t>67</w:t>
            </w:r>
          </w:p>
        </w:tc>
      </w:tr>
      <w:tr>
        <w:trPr/>
        <w:tc>
          <w:tcPr>
            <w:tcW w:w="1192" w:type="dxa"/>
            <w:tcBorders/>
            <w:vAlign w:val="center"/>
          </w:tcPr>
          <w:p>
            <w:pPr>
              <w:pStyle w:val="TableContents"/>
              <w:bidi w:val="0"/>
              <w:spacing w:before="0" w:after="283"/>
              <w:jc w:val="left"/>
              <w:rPr/>
            </w:pPr>
            <w:r>
              <w:rPr/>
              <w:t>Section 4.14</w:t>
            </w:r>
          </w:p>
        </w:tc>
        <w:tc>
          <w:tcPr>
            <w:tcW w:w="8737" w:type="dxa"/>
            <w:tcBorders/>
            <w:vAlign w:val="center"/>
          </w:tcPr>
          <w:p>
            <w:pPr>
              <w:pStyle w:val="TableContents"/>
              <w:bidi w:val="0"/>
              <w:spacing w:before="0" w:after="283"/>
              <w:jc w:val="left"/>
              <w:rPr/>
            </w:pPr>
            <w:r>
              <w:rPr/>
              <w:t>Offer To Repurchase Upon Change of Control</w:t>
            </w:r>
          </w:p>
        </w:tc>
        <w:tc>
          <w:tcPr>
            <w:tcW w:w="276" w:type="dxa"/>
            <w:tcBorders/>
            <w:vAlign w:val="center"/>
          </w:tcPr>
          <w:p>
            <w:pPr>
              <w:pStyle w:val="TableContents"/>
              <w:bidi w:val="0"/>
              <w:spacing w:before="0" w:after="283"/>
              <w:jc w:val="right"/>
              <w:rPr/>
            </w:pPr>
            <w:r>
              <w:rPr/>
              <w:t>67</w:t>
            </w:r>
          </w:p>
        </w:tc>
      </w:tr>
      <w:tr>
        <w:trPr/>
        <w:tc>
          <w:tcPr>
            <w:tcW w:w="1192" w:type="dxa"/>
            <w:tcBorders/>
            <w:vAlign w:val="center"/>
          </w:tcPr>
          <w:p>
            <w:pPr>
              <w:pStyle w:val="TableContents"/>
              <w:bidi w:val="0"/>
              <w:spacing w:before="0" w:after="283"/>
              <w:jc w:val="left"/>
              <w:rPr/>
            </w:pPr>
            <w:r>
              <w:rPr/>
              <w:t>Section 4.15</w:t>
            </w:r>
          </w:p>
        </w:tc>
        <w:tc>
          <w:tcPr>
            <w:tcW w:w="8737" w:type="dxa"/>
            <w:tcBorders/>
            <w:vAlign w:val="center"/>
          </w:tcPr>
          <w:p>
            <w:pPr>
              <w:pStyle w:val="TableContents"/>
              <w:bidi w:val="0"/>
              <w:spacing w:before="0" w:after="283"/>
              <w:jc w:val="left"/>
              <w:rPr/>
            </w:pPr>
            <w:r>
              <w:rPr/>
              <w:t>Subsidiary Guarantees</w:t>
            </w:r>
          </w:p>
        </w:tc>
        <w:tc>
          <w:tcPr>
            <w:tcW w:w="276" w:type="dxa"/>
            <w:tcBorders/>
            <w:vAlign w:val="center"/>
          </w:tcPr>
          <w:p>
            <w:pPr>
              <w:pStyle w:val="TableContents"/>
              <w:bidi w:val="0"/>
              <w:spacing w:before="0" w:after="283"/>
              <w:jc w:val="right"/>
              <w:rPr/>
            </w:pPr>
            <w:r>
              <w:rPr/>
              <w:t>69</w:t>
            </w:r>
          </w:p>
        </w:tc>
      </w:tr>
      <w:tr>
        <w:trPr/>
        <w:tc>
          <w:tcPr>
            <w:tcW w:w="1192" w:type="dxa"/>
            <w:tcBorders/>
            <w:vAlign w:val="center"/>
          </w:tcPr>
          <w:p>
            <w:pPr>
              <w:pStyle w:val="TableContents"/>
              <w:bidi w:val="0"/>
              <w:spacing w:before="0" w:after="283"/>
              <w:jc w:val="left"/>
              <w:rPr/>
            </w:pPr>
            <w:r>
              <w:rPr/>
              <w:t>Section 4.16</w:t>
            </w:r>
          </w:p>
        </w:tc>
        <w:tc>
          <w:tcPr>
            <w:tcW w:w="8737" w:type="dxa"/>
            <w:tcBorders/>
            <w:vAlign w:val="center"/>
          </w:tcPr>
          <w:p>
            <w:pPr>
              <w:pStyle w:val="TableContents"/>
              <w:bidi w:val="0"/>
              <w:spacing w:before="0" w:after="283"/>
              <w:jc w:val="left"/>
              <w:rPr/>
            </w:pPr>
            <w:r>
              <w:rPr/>
              <w:t>Suspension of Covenants</w:t>
            </w:r>
          </w:p>
        </w:tc>
        <w:tc>
          <w:tcPr>
            <w:tcW w:w="276" w:type="dxa"/>
            <w:tcBorders/>
            <w:vAlign w:val="center"/>
          </w:tcPr>
          <w:p>
            <w:pPr>
              <w:pStyle w:val="TableContents"/>
              <w:bidi w:val="0"/>
              <w:spacing w:before="0" w:after="283"/>
              <w:jc w:val="right"/>
              <w:rPr/>
            </w:pPr>
            <w:r>
              <w:rPr/>
              <w:t>70</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SUCCESSORS</w:t>
      </w:r>
    </w:p>
    <w:p>
      <w:pPr>
        <w:pStyle w:val="TextBody"/>
        <w:bidi w:val="0"/>
        <w:spacing w:before="0" w:after="0"/>
        <w:ind w:left="0" w:right="0" w:hanging="0"/>
        <w:jc w:val="center"/>
        <w:rPr>
          <w:caps/>
        </w:rPr>
      </w:pPr>
      <w:r>
        <w:rPr>
          <w:caps/>
        </w:rPr>
        <w:t> </w:t>
      </w:r>
    </w:p>
    <w:tbl>
      <w:tblPr>
        <w:tblW w:w="7545" w:type="dxa"/>
        <w:jc w:val="left"/>
        <w:tblInd w:w="0" w:type="dxa"/>
        <w:tblLayout w:type="fixed"/>
        <w:tblCellMar>
          <w:top w:w="0" w:type="dxa"/>
          <w:left w:w="0" w:type="dxa"/>
          <w:bottom w:w="0" w:type="dxa"/>
          <w:right w:w="0" w:type="dxa"/>
        </w:tblCellMar>
      </w:tblPr>
      <w:tblGrid>
        <w:gridCol w:w="1220"/>
        <w:gridCol w:w="6050"/>
        <w:gridCol w:w="275"/>
      </w:tblGrid>
      <w:tr>
        <w:trPr/>
        <w:tc>
          <w:tcPr>
            <w:tcW w:w="1220" w:type="dxa"/>
            <w:tcBorders/>
            <w:vAlign w:val="center"/>
          </w:tcPr>
          <w:p>
            <w:pPr>
              <w:pStyle w:val="TableContents"/>
              <w:bidi w:val="0"/>
              <w:spacing w:before="0" w:after="283"/>
              <w:jc w:val="left"/>
              <w:rPr/>
            </w:pPr>
            <w:r>
              <w:rPr/>
              <w:t>Section 5.01</w:t>
            </w:r>
          </w:p>
        </w:tc>
        <w:tc>
          <w:tcPr>
            <w:tcW w:w="6050" w:type="dxa"/>
            <w:tcBorders/>
            <w:vAlign w:val="center"/>
          </w:tcPr>
          <w:p>
            <w:pPr>
              <w:pStyle w:val="TableContents"/>
              <w:bidi w:val="0"/>
              <w:spacing w:before="0" w:after="283"/>
              <w:jc w:val="left"/>
              <w:rPr/>
            </w:pPr>
            <w:r>
              <w:rPr/>
              <w:t>Merger, Consolidation or Sale of All or Substantially All Assets</w:t>
            </w:r>
          </w:p>
        </w:tc>
        <w:tc>
          <w:tcPr>
            <w:tcW w:w="275" w:type="dxa"/>
            <w:tcBorders/>
            <w:vAlign w:val="center"/>
          </w:tcPr>
          <w:p>
            <w:pPr>
              <w:pStyle w:val="TableContents"/>
              <w:bidi w:val="0"/>
              <w:spacing w:before="0" w:after="283"/>
              <w:jc w:val="right"/>
              <w:rPr/>
            </w:pPr>
            <w:r>
              <w:rPr/>
              <w:t>71</w:t>
            </w:r>
          </w:p>
        </w:tc>
      </w:tr>
      <w:tr>
        <w:trPr/>
        <w:tc>
          <w:tcPr>
            <w:tcW w:w="1220" w:type="dxa"/>
            <w:tcBorders/>
            <w:vAlign w:val="center"/>
          </w:tcPr>
          <w:p>
            <w:pPr>
              <w:pStyle w:val="TableContents"/>
              <w:bidi w:val="0"/>
              <w:spacing w:before="0" w:after="283"/>
              <w:jc w:val="left"/>
              <w:rPr/>
            </w:pPr>
            <w:r>
              <w:rPr/>
              <w:t>Section 5.02</w:t>
            </w:r>
          </w:p>
        </w:tc>
        <w:tc>
          <w:tcPr>
            <w:tcW w:w="6050" w:type="dxa"/>
            <w:tcBorders/>
            <w:vAlign w:val="center"/>
          </w:tcPr>
          <w:p>
            <w:pPr>
              <w:pStyle w:val="TableContents"/>
              <w:bidi w:val="0"/>
              <w:spacing w:before="0" w:after="283"/>
              <w:jc w:val="left"/>
              <w:rPr/>
            </w:pPr>
            <w:r>
              <w:rPr/>
              <w:t>Successor Corporation Substituted</w:t>
            </w:r>
          </w:p>
        </w:tc>
        <w:tc>
          <w:tcPr>
            <w:tcW w:w="275" w:type="dxa"/>
            <w:tcBorders/>
            <w:vAlign w:val="center"/>
          </w:tcPr>
          <w:p>
            <w:pPr>
              <w:pStyle w:val="TableContents"/>
              <w:bidi w:val="0"/>
              <w:spacing w:before="0" w:after="283"/>
              <w:jc w:val="right"/>
              <w:rPr/>
            </w:pPr>
            <w:r>
              <w:rPr/>
              <w:t>72</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br/>
        <w:t>DEFAULTS AND REMEDIES</w:t>
      </w:r>
    </w:p>
    <w:p>
      <w:pPr>
        <w:pStyle w:val="TextBody"/>
        <w:bidi w:val="0"/>
        <w:spacing w:before="0" w:after="0"/>
        <w:ind w:left="0" w:right="0" w:hanging="0"/>
        <w:jc w:val="center"/>
        <w:rPr>
          <w:caps/>
        </w:rPr>
      </w:pPr>
      <w:r>
        <w:rPr>
          <w:caps/>
        </w:rPr>
        <w:t> </w:t>
      </w:r>
    </w:p>
    <w:tbl>
      <w:tblPr>
        <w:tblW w:w="6105" w:type="dxa"/>
        <w:jc w:val="left"/>
        <w:tblInd w:w="0" w:type="dxa"/>
        <w:tblLayout w:type="fixed"/>
        <w:tblCellMar>
          <w:top w:w="0" w:type="dxa"/>
          <w:left w:w="0" w:type="dxa"/>
          <w:bottom w:w="0" w:type="dxa"/>
          <w:right w:w="0" w:type="dxa"/>
        </w:tblCellMar>
      </w:tblPr>
      <w:tblGrid>
        <w:gridCol w:w="1220"/>
        <w:gridCol w:w="4610"/>
        <w:gridCol w:w="275"/>
      </w:tblGrid>
      <w:tr>
        <w:trPr/>
        <w:tc>
          <w:tcPr>
            <w:tcW w:w="1220" w:type="dxa"/>
            <w:tcBorders/>
            <w:vAlign w:val="center"/>
          </w:tcPr>
          <w:p>
            <w:pPr>
              <w:pStyle w:val="TableContents"/>
              <w:bidi w:val="0"/>
              <w:spacing w:before="0" w:after="283"/>
              <w:jc w:val="left"/>
              <w:rPr/>
            </w:pPr>
            <w:r>
              <w:rPr/>
              <w:t>Section 6.01</w:t>
            </w:r>
          </w:p>
        </w:tc>
        <w:tc>
          <w:tcPr>
            <w:tcW w:w="4610" w:type="dxa"/>
            <w:tcBorders/>
            <w:vAlign w:val="center"/>
          </w:tcPr>
          <w:p>
            <w:pPr>
              <w:pStyle w:val="TableContents"/>
              <w:bidi w:val="0"/>
              <w:spacing w:before="0" w:after="283"/>
              <w:jc w:val="left"/>
              <w:rPr/>
            </w:pPr>
            <w:r>
              <w:rPr/>
              <w:t>Events of Default</w:t>
            </w:r>
          </w:p>
        </w:tc>
        <w:tc>
          <w:tcPr>
            <w:tcW w:w="275" w:type="dxa"/>
            <w:tcBorders/>
            <w:vAlign w:val="center"/>
          </w:tcPr>
          <w:p>
            <w:pPr>
              <w:pStyle w:val="TableContents"/>
              <w:bidi w:val="0"/>
              <w:spacing w:before="0" w:after="283"/>
              <w:jc w:val="right"/>
              <w:rPr/>
            </w:pPr>
            <w:r>
              <w:rPr/>
              <w:t>73</w:t>
            </w:r>
          </w:p>
        </w:tc>
      </w:tr>
      <w:tr>
        <w:trPr/>
        <w:tc>
          <w:tcPr>
            <w:tcW w:w="1220" w:type="dxa"/>
            <w:tcBorders/>
            <w:vAlign w:val="center"/>
          </w:tcPr>
          <w:p>
            <w:pPr>
              <w:pStyle w:val="TableContents"/>
              <w:bidi w:val="0"/>
              <w:spacing w:before="0" w:after="283"/>
              <w:jc w:val="left"/>
              <w:rPr/>
            </w:pPr>
            <w:r>
              <w:rPr/>
              <w:t>Section 6.02</w:t>
            </w:r>
          </w:p>
        </w:tc>
        <w:tc>
          <w:tcPr>
            <w:tcW w:w="4610" w:type="dxa"/>
            <w:tcBorders/>
            <w:vAlign w:val="center"/>
          </w:tcPr>
          <w:p>
            <w:pPr>
              <w:pStyle w:val="TableContents"/>
              <w:bidi w:val="0"/>
              <w:spacing w:before="0" w:after="283"/>
              <w:jc w:val="left"/>
              <w:rPr/>
            </w:pPr>
            <w:r>
              <w:rPr/>
              <w:t>Acceleration</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6.03</w:t>
            </w:r>
          </w:p>
        </w:tc>
        <w:tc>
          <w:tcPr>
            <w:tcW w:w="4610" w:type="dxa"/>
            <w:tcBorders/>
            <w:vAlign w:val="center"/>
          </w:tcPr>
          <w:p>
            <w:pPr>
              <w:pStyle w:val="TableContents"/>
              <w:bidi w:val="0"/>
              <w:spacing w:before="0" w:after="283"/>
              <w:jc w:val="left"/>
              <w:rPr/>
            </w:pPr>
            <w:r>
              <w:rPr/>
              <w:t>Other Remedies</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6.04</w:t>
            </w:r>
          </w:p>
        </w:tc>
        <w:tc>
          <w:tcPr>
            <w:tcW w:w="4610" w:type="dxa"/>
            <w:tcBorders/>
            <w:vAlign w:val="center"/>
          </w:tcPr>
          <w:p>
            <w:pPr>
              <w:pStyle w:val="TableContents"/>
              <w:bidi w:val="0"/>
              <w:spacing w:before="0" w:after="283"/>
              <w:jc w:val="left"/>
              <w:rPr/>
            </w:pPr>
            <w:r>
              <w:rPr/>
              <w:t>Waiver of Past Defaults</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6.05</w:t>
            </w:r>
          </w:p>
        </w:tc>
        <w:tc>
          <w:tcPr>
            <w:tcW w:w="4610" w:type="dxa"/>
            <w:tcBorders/>
            <w:vAlign w:val="center"/>
          </w:tcPr>
          <w:p>
            <w:pPr>
              <w:pStyle w:val="TableContents"/>
              <w:bidi w:val="0"/>
              <w:spacing w:before="0" w:after="283"/>
              <w:jc w:val="left"/>
              <w:rPr/>
            </w:pPr>
            <w:r>
              <w:rPr/>
              <w:t>Control by Majority</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6.06</w:t>
            </w:r>
          </w:p>
        </w:tc>
        <w:tc>
          <w:tcPr>
            <w:tcW w:w="4610" w:type="dxa"/>
            <w:tcBorders/>
            <w:vAlign w:val="center"/>
          </w:tcPr>
          <w:p>
            <w:pPr>
              <w:pStyle w:val="TableContents"/>
              <w:bidi w:val="0"/>
              <w:spacing w:before="0" w:after="283"/>
              <w:jc w:val="left"/>
              <w:rPr/>
            </w:pPr>
            <w:r>
              <w:rPr/>
              <w:t>Limitation on Suits</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6.07</w:t>
            </w:r>
          </w:p>
        </w:tc>
        <w:tc>
          <w:tcPr>
            <w:tcW w:w="4610" w:type="dxa"/>
            <w:tcBorders/>
            <w:vAlign w:val="center"/>
          </w:tcPr>
          <w:p>
            <w:pPr>
              <w:pStyle w:val="TableContents"/>
              <w:bidi w:val="0"/>
              <w:spacing w:before="0" w:after="283"/>
              <w:jc w:val="left"/>
              <w:rPr/>
            </w:pPr>
            <w:r>
              <w:rPr/>
              <w:t>Rights of Holders of Notes To Receive Payment</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6.08</w:t>
            </w:r>
          </w:p>
        </w:tc>
        <w:tc>
          <w:tcPr>
            <w:tcW w:w="4610" w:type="dxa"/>
            <w:tcBorders/>
            <w:vAlign w:val="center"/>
          </w:tcPr>
          <w:p>
            <w:pPr>
              <w:pStyle w:val="TableContents"/>
              <w:bidi w:val="0"/>
              <w:spacing w:before="0" w:after="283"/>
              <w:jc w:val="left"/>
              <w:rPr/>
            </w:pPr>
            <w:r>
              <w:rPr/>
              <w:t>Collection Suit by Trustee</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6.09</w:t>
            </w:r>
          </w:p>
        </w:tc>
        <w:tc>
          <w:tcPr>
            <w:tcW w:w="4610" w:type="dxa"/>
            <w:tcBorders/>
            <w:vAlign w:val="center"/>
          </w:tcPr>
          <w:p>
            <w:pPr>
              <w:pStyle w:val="TableContents"/>
              <w:bidi w:val="0"/>
              <w:spacing w:before="0" w:after="283"/>
              <w:jc w:val="left"/>
              <w:rPr/>
            </w:pPr>
            <w:r>
              <w:rPr/>
              <w:t>Restoration of Rights and Remedies</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6.10</w:t>
            </w:r>
          </w:p>
        </w:tc>
        <w:tc>
          <w:tcPr>
            <w:tcW w:w="4610" w:type="dxa"/>
            <w:tcBorders/>
            <w:vAlign w:val="center"/>
          </w:tcPr>
          <w:p>
            <w:pPr>
              <w:pStyle w:val="TableContents"/>
              <w:bidi w:val="0"/>
              <w:spacing w:before="0" w:after="283"/>
              <w:jc w:val="left"/>
              <w:rPr/>
            </w:pPr>
            <w:r>
              <w:rPr/>
              <w:t>Rights and Remedies Cumulative</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6.11</w:t>
            </w:r>
          </w:p>
        </w:tc>
        <w:tc>
          <w:tcPr>
            <w:tcW w:w="4610" w:type="dxa"/>
            <w:tcBorders/>
            <w:vAlign w:val="center"/>
          </w:tcPr>
          <w:p>
            <w:pPr>
              <w:pStyle w:val="TableContents"/>
              <w:bidi w:val="0"/>
              <w:spacing w:before="0" w:after="283"/>
              <w:jc w:val="left"/>
              <w:rPr/>
            </w:pPr>
            <w:r>
              <w:rPr/>
              <w:t>Delay or Omission Not Waiver</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6.12</w:t>
            </w:r>
          </w:p>
        </w:tc>
        <w:tc>
          <w:tcPr>
            <w:tcW w:w="4610" w:type="dxa"/>
            <w:tcBorders/>
            <w:vAlign w:val="center"/>
          </w:tcPr>
          <w:p>
            <w:pPr>
              <w:pStyle w:val="TableContents"/>
              <w:bidi w:val="0"/>
              <w:spacing w:before="0" w:after="283"/>
              <w:jc w:val="left"/>
              <w:rPr/>
            </w:pPr>
            <w:r>
              <w:rPr/>
              <w:t>Trustee May File Proofs of Claim</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6.13</w:t>
            </w:r>
          </w:p>
        </w:tc>
        <w:tc>
          <w:tcPr>
            <w:tcW w:w="4610" w:type="dxa"/>
            <w:tcBorders/>
            <w:vAlign w:val="center"/>
          </w:tcPr>
          <w:p>
            <w:pPr>
              <w:pStyle w:val="TableContents"/>
              <w:bidi w:val="0"/>
              <w:spacing w:before="0" w:after="283"/>
              <w:jc w:val="left"/>
              <w:rPr/>
            </w:pPr>
            <w:r>
              <w:rPr/>
              <w:t>Priorities</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Section 6.14</w:t>
            </w:r>
          </w:p>
        </w:tc>
        <w:tc>
          <w:tcPr>
            <w:tcW w:w="4610" w:type="dxa"/>
            <w:tcBorders/>
            <w:vAlign w:val="center"/>
          </w:tcPr>
          <w:p>
            <w:pPr>
              <w:pStyle w:val="TableContents"/>
              <w:bidi w:val="0"/>
              <w:spacing w:before="0" w:after="283"/>
              <w:jc w:val="left"/>
              <w:rPr/>
            </w:pPr>
            <w:r>
              <w:rPr/>
              <w:t>Undertaking for Costs</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Section 6.15</w:t>
            </w:r>
          </w:p>
        </w:tc>
        <w:tc>
          <w:tcPr>
            <w:tcW w:w="4610" w:type="dxa"/>
            <w:tcBorders/>
            <w:vAlign w:val="center"/>
          </w:tcPr>
          <w:p>
            <w:pPr>
              <w:pStyle w:val="TableContents"/>
              <w:bidi w:val="0"/>
              <w:spacing w:before="0" w:after="283"/>
              <w:jc w:val="left"/>
              <w:rPr/>
            </w:pPr>
            <w:r>
              <w:rPr/>
              <w:t>Noteholder Direction</w:t>
            </w:r>
          </w:p>
        </w:tc>
        <w:tc>
          <w:tcPr>
            <w:tcW w:w="275" w:type="dxa"/>
            <w:tcBorders/>
            <w:vAlign w:val="center"/>
          </w:tcPr>
          <w:p>
            <w:pPr>
              <w:pStyle w:val="TableContents"/>
              <w:bidi w:val="0"/>
              <w:spacing w:before="0" w:after="283"/>
              <w:jc w:val="right"/>
              <w:rPr/>
            </w:pPr>
            <w:r>
              <w:rPr/>
              <w:t>78</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60" w:type="dxa"/>
        <w:jc w:val="left"/>
        <w:tblInd w:w="0" w:type="dxa"/>
        <w:tblLayout w:type="fixed"/>
        <w:tblCellMar>
          <w:top w:w="0" w:type="dxa"/>
          <w:left w:w="0" w:type="dxa"/>
          <w:bottom w:w="0" w:type="dxa"/>
          <w:right w:w="0" w:type="dxa"/>
        </w:tblCellMar>
      </w:tblPr>
      <w:tblGrid>
        <w:gridCol w:w="75"/>
        <w:gridCol w:w="60"/>
        <w:gridCol w:w="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br/>
        <w:t>TRUSTEE</w:t>
      </w:r>
    </w:p>
    <w:p>
      <w:pPr>
        <w:pStyle w:val="TextBody"/>
        <w:bidi w:val="0"/>
        <w:spacing w:before="0" w:after="0"/>
        <w:ind w:left="0" w:right="0" w:hanging="0"/>
        <w:jc w:val="center"/>
        <w:rPr>
          <w:caps/>
        </w:rPr>
      </w:pPr>
      <w:r>
        <w:rPr>
          <w:caps/>
        </w:rPr>
        <w:t> </w:t>
      </w:r>
    </w:p>
    <w:tbl>
      <w:tblPr>
        <w:tblW w:w="4725" w:type="dxa"/>
        <w:jc w:val="left"/>
        <w:tblInd w:w="0" w:type="dxa"/>
        <w:tblLayout w:type="fixed"/>
        <w:tblCellMar>
          <w:top w:w="0" w:type="dxa"/>
          <w:left w:w="0" w:type="dxa"/>
          <w:bottom w:w="0" w:type="dxa"/>
          <w:right w:w="0" w:type="dxa"/>
        </w:tblCellMar>
      </w:tblPr>
      <w:tblGrid>
        <w:gridCol w:w="1220"/>
        <w:gridCol w:w="3230"/>
        <w:gridCol w:w="275"/>
      </w:tblGrid>
      <w:tr>
        <w:trPr/>
        <w:tc>
          <w:tcPr>
            <w:tcW w:w="1220" w:type="dxa"/>
            <w:tcBorders/>
            <w:vAlign w:val="center"/>
          </w:tcPr>
          <w:p>
            <w:pPr>
              <w:pStyle w:val="TableContents"/>
              <w:bidi w:val="0"/>
              <w:spacing w:before="0" w:after="283"/>
              <w:jc w:val="left"/>
              <w:rPr/>
            </w:pPr>
            <w:r>
              <w:rPr/>
              <w:t>Section 7.01</w:t>
            </w:r>
          </w:p>
        </w:tc>
        <w:tc>
          <w:tcPr>
            <w:tcW w:w="3230" w:type="dxa"/>
            <w:tcBorders/>
            <w:vAlign w:val="center"/>
          </w:tcPr>
          <w:p>
            <w:pPr>
              <w:pStyle w:val="TableContents"/>
              <w:bidi w:val="0"/>
              <w:spacing w:before="0" w:after="283"/>
              <w:jc w:val="left"/>
              <w:rPr/>
            </w:pPr>
            <w:r>
              <w:rPr/>
              <w:t>Duties of Trustee</w:t>
            </w:r>
          </w:p>
        </w:tc>
        <w:tc>
          <w:tcPr>
            <w:tcW w:w="275" w:type="dxa"/>
            <w:tcBorders/>
            <w:vAlign w:val="center"/>
          </w:tcPr>
          <w:p>
            <w:pPr>
              <w:pStyle w:val="TableContents"/>
              <w:bidi w:val="0"/>
              <w:spacing w:before="0" w:after="283"/>
              <w:jc w:val="right"/>
              <w:rPr/>
            </w:pPr>
            <w:r>
              <w:rPr/>
              <w:t>80</w:t>
            </w:r>
          </w:p>
        </w:tc>
      </w:tr>
      <w:tr>
        <w:trPr/>
        <w:tc>
          <w:tcPr>
            <w:tcW w:w="1220" w:type="dxa"/>
            <w:tcBorders/>
            <w:vAlign w:val="center"/>
          </w:tcPr>
          <w:p>
            <w:pPr>
              <w:pStyle w:val="TableContents"/>
              <w:bidi w:val="0"/>
              <w:spacing w:before="0" w:after="283"/>
              <w:jc w:val="left"/>
              <w:rPr/>
            </w:pPr>
            <w:r>
              <w:rPr/>
              <w:t>Section 7.02</w:t>
            </w:r>
          </w:p>
        </w:tc>
        <w:tc>
          <w:tcPr>
            <w:tcW w:w="3230" w:type="dxa"/>
            <w:tcBorders/>
            <w:vAlign w:val="center"/>
          </w:tcPr>
          <w:p>
            <w:pPr>
              <w:pStyle w:val="TableContents"/>
              <w:bidi w:val="0"/>
              <w:spacing w:before="0" w:after="283"/>
              <w:jc w:val="left"/>
              <w:rPr/>
            </w:pPr>
            <w:r>
              <w:rPr/>
              <w:t>Rights of Trustee</w:t>
            </w:r>
          </w:p>
        </w:tc>
        <w:tc>
          <w:tcPr>
            <w:tcW w:w="275" w:type="dxa"/>
            <w:tcBorders/>
            <w:vAlign w:val="center"/>
          </w:tcPr>
          <w:p>
            <w:pPr>
              <w:pStyle w:val="TableContents"/>
              <w:bidi w:val="0"/>
              <w:spacing w:before="0" w:after="283"/>
              <w:jc w:val="right"/>
              <w:rPr/>
            </w:pPr>
            <w:r>
              <w:rPr/>
              <w:t>81</w:t>
            </w:r>
          </w:p>
        </w:tc>
      </w:tr>
      <w:tr>
        <w:trPr/>
        <w:tc>
          <w:tcPr>
            <w:tcW w:w="1220" w:type="dxa"/>
            <w:tcBorders/>
            <w:vAlign w:val="center"/>
          </w:tcPr>
          <w:p>
            <w:pPr>
              <w:pStyle w:val="TableContents"/>
              <w:bidi w:val="0"/>
              <w:spacing w:before="0" w:after="283"/>
              <w:jc w:val="left"/>
              <w:rPr/>
            </w:pPr>
            <w:r>
              <w:rPr/>
              <w:t>Section 7.03</w:t>
            </w:r>
          </w:p>
        </w:tc>
        <w:tc>
          <w:tcPr>
            <w:tcW w:w="3230" w:type="dxa"/>
            <w:tcBorders/>
            <w:vAlign w:val="center"/>
          </w:tcPr>
          <w:p>
            <w:pPr>
              <w:pStyle w:val="TableContents"/>
              <w:bidi w:val="0"/>
              <w:spacing w:before="0" w:after="283"/>
              <w:jc w:val="left"/>
              <w:rPr/>
            </w:pPr>
            <w:r>
              <w:rPr/>
              <w:t>Individual Rights of Trustee</w:t>
            </w:r>
          </w:p>
        </w:tc>
        <w:tc>
          <w:tcPr>
            <w:tcW w:w="275" w:type="dxa"/>
            <w:tcBorders/>
            <w:vAlign w:val="center"/>
          </w:tcPr>
          <w:p>
            <w:pPr>
              <w:pStyle w:val="TableContents"/>
              <w:bidi w:val="0"/>
              <w:spacing w:before="0" w:after="283"/>
              <w:jc w:val="right"/>
              <w:rPr/>
            </w:pPr>
            <w:r>
              <w:rPr/>
              <w:t>82</w:t>
            </w:r>
          </w:p>
        </w:tc>
      </w:tr>
      <w:tr>
        <w:trPr/>
        <w:tc>
          <w:tcPr>
            <w:tcW w:w="1220" w:type="dxa"/>
            <w:tcBorders/>
            <w:vAlign w:val="center"/>
          </w:tcPr>
          <w:p>
            <w:pPr>
              <w:pStyle w:val="TableContents"/>
              <w:bidi w:val="0"/>
              <w:spacing w:before="0" w:after="283"/>
              <w:jc w:val="left"/>
              <w:rPr/>
            </w:pPr>
            <w:r>
              <w:rPr/>
              <w:t>Section 7.04</w:t>
            </w:r>
          </w:p>
        </w:tc>
        <w:tc>
          <w:tcPr>
            <w:tcW w:w="3230" w:type="dxa"/>
            <w:tcBorders/>
            <w:vAlign w:val="center"/>
          </w:tcPr>
          <w:p>
            <w:pPr>
              <w:pStyle w:val="TableContents"/>
              <w:bidi w:val="0"/>
              <w:spacing w:before="0" w:after="283"/>
              <w:jc w:val="left"/>
              <w:rPr/>
            </w:pPr>
            <w:r>
              <w:rPr/>
              <w:t>Trustee’s Disclaimer</w:t>
            </w:r>
          </w:p>
        </w:tc>
        <w:tc>
          <w:tcPr>
            <w:tcW w:w="275" w:type="dxa"/>
            <w:tcBorders/>
            <w:vAlign w:val="center"/>
          </w:tcPr>
          <w:p>
            <w:pPr>
              <w:pStyle w:val="TableContents"/>
              <w:bidi w:val="0"/>
              <w:spacing w:before="0" w:after="283"/>
              <w:jc w:val="right"/>
              <w:rPr/>
            </w:pPr>
            <w:r>
              <w:rPr/>
              <w:t>82</w:t>
            </w:r>
          </w:p>
        </w:tc>
      </w:tr>
      <w:tr>
        <w:trPr/>
        <w:tc>
          <w:tcPr>
            <w:tcW w:w="1220" w:type="dxa"/>
            <w:tcBorders/>
            <w:vAlign w:val="center"/>
          </w:tcPr>
          <w:p>
            <w:pPr>
              <w:pStyle w:val="TableContents"/>
              <w:bidi w:val="0"/>
              <w:spacing w:before="0" w:after="283"/>
              <w:jc w:val="left"/>
              <w:rPr/>
            </w:pPr>
            <w:r>
              <w:rPr/>
              <w:t>Section 7.05</w:t>
            </w:r>
          </w:p>
        </w:tc>
        <w:tc>
          <w:tcPr>
            <w:tcW w:w="3230" w:type="dxa"/>
            <w:tcBorders/>
            <w:vAlign w:val="center"/>
          </w:tcPr>
          <w:p>
            <w:pPr>
              <w:pStyle w:val="TableContents"/>
              <w:bidi w:val="0"/>
              <w:spacing w:before="0" w:after="283"/>
              <w:jc w:val="left"/>
              <w:rPr/>
            </w:pPr>
            <w:r>
              <w:rPr/>
              <w:t>Notice of Defaults</w:t>
            </w:r>
          </w:p>
        </w:tc>
        <w:tc>
          <w:tcPr>
            <w:tcW w:w="275" w:type="dxa"/>
            <w:tcBorders/>
            <w:vAlign w:val="center"/>
          </w:tcPr>
          <w:p>
            <w:pPr>
              <w:pStyle w:val="TableContents"/>
              <w:bidi w:val="0"/>
              <w:spacing w:before="0" w:after="283"/>
              <w:jc w:val="right"/>
              <w:rPr/>
            </w:pPr>
            <w:r>
              <w:rPr/>
              <w:t>82</w:t>
            </w:r>
          </w:p>
        </w:tc>
      </w:tr>
      <w:tr>
        <w:trPr/>
        <w:tc>
          <w:tcPr>
            <w:tcW w:w="1220" w:type="dxa"/>
            <w:tcBorders/>
            <w:vAlign w:val="center"/>
          </w:tcPr>
          <w:p>
            <w:pPr>
              <w:pStyle w:val="TableContents"/>
              <w:bidi w:val="0"/>
              <w:spacing w:before="0" w:after="283"/>
              <w:jc w:val="left"/>
              <w:rPr/>
            </w:pPr>
            <w:r>
              <w:rPr/>
              <w:t>Section 7.06</w:t>
            </w:r>
          </w:p>
        </w:tc>
        <w:tc>
          <w:tcPr>
            <w:tcW w:w="3230"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83</w:t>
            </w:r>
          </w:p>
        </w:tc>
      </w:tr>
      <w:tr>
        <w:trPr/>
        <w:tc>
          <w:tcPr>
            <w:tcW w:w="1220" w:type="dxa"/>
            <w:tcBorders/>
            <w:vAlign w:val="center"/>
          </w:tcPr>
          <w:p>
            <w:pPr>
              <w:pStyle w:val="TableContents"/>
              <w:bidi w:val="0"/>
              <w:spacing w:before="0" w:after="283"/>
              <w:jc w:val="left"/>
              <w:rPr/>
            </w:pPr>
            <w:r>
              <w:rPr/>
              <w:t>Section 7.07</w:t>
            </w:r>
          </w:p>
        </w:tc>
        <w:tc>
          <w:tcPr>
            <w:tcW w:w="3230"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83</w:t>
            </w:r>
          </w:p>
        </w:tc>
      </w:tr>
      <w:tr>
        <w:trPr/>
        <w:tc>
          <w:tcPr>
            <w:tcW w:w="1220" w:type="dxa"/>
            <w:tcBorders/>
            <w:vAlign w:val="center"/>
          </w:tcPr>
          <w:p>
            <w:pPr>
              <w:pStyle w:val="TableContents"/>
              <w:bidi w:val="0"/>
              <w:spacing w:before="0" w:after="283"/>
              <w:jc w:val="left"/>
              <w:rPr/>
            </w:pPr>
            <w:r>
              <w:rPr/>
              <w:t>Section 7.08</w:t>
            </w:r>
          </w:p>
        </w:tc>
        <w:tc>
          <w:tcPr>
            <w:tcW w:w="3230" w:type="dxa"/>
            <w:tcBorders/>
            <w:vAlign w:val="center"/>
          </w:tcPr>
          <w:p>
            <w:pPr>
              <w:pStyle w:val="TableContents"/>
              <w:bidi w:val="0"/>
              <w:spacing w:before="0" w:after="283"/>
              <w:jc w:val="left"/>
              <w:rPr/>
            </w:pPr>
            <w:r>
              <w:rPr/>
              <w:t>Compensation and Indemnity</w:t>
            </w:r>
          </w:p>
        </w:tc>
        <w:tc>
          <w:tcPr>
            <w:tcW w:w="275" w:type="dxa"/>
            <w:tcBorders/>
            <w:vAlign w:val="center"/>
          </w:tcPr>
          <w:p>
            <w:pPr>
              <w:pStyle w:val="TableContents"/>
              <w:bidi w:val="0"/>
              <w:spacing w:before="0" w:after="283"/>
              <w:jc w:val="right"/>
              <w:rPr/>
            </w:pPr>
            <w:r>
              <w:rPr/>
              <w:t>83</w:t>
            </w:r>
          </w:p>
        </w:tc>
      </w:tr>
      <w:tr>
        <w:trPr/>
        <w:tc>
          <w:tcPr>
            <w:tcW w:w="1220" w:type="dxa"/>
            <w:tcBorders/>
            <w:vAlign w:val="center"/>
          </w:tcPr>
          <w:p>
            <w:pPr>
              <w:pStyle w:val="TableContents"/>
              <w:bidi w:val="0"/>
              <w:spacing w:before="0" w:after="283"/>
              <w:jc w:val="left"/>
              <w:rPr/>
            </w:pPr>
            <w:r>
              <w:rPr/>
              <w:t>Section 7.09</w:t>
            </w:r>
          </w:p>
        </w:tc>
        <w:tc>
          <w:tcPr>
            <w:tcW w:w="3230" w:type="dxa"/>
            <w:tcBorders/>
            <w:vAlign w:val="center"/>
          </w:tcPr>
          <w:p>
            <w:pPr>
              <w:pStyle w:val="TableContents"/>
              <w:bidi w:val="0"/>
              <w:spacing w:before="0" w:after="283"/>
              <w:jc w:val="left"/>
              <w:rPr/>
            </w:pPr>
            <w:r>
              <w:rPr/>
              <w:t>Replacement of Trustee</w:t>
            </w:r>
          </w:p>
        </w:tc>
        <w:tc>
          <w:tcPr>
            <w:tcW w:w="275" w:type="dxa"/>
            <w:tcBorders/>
            <w:vAlign w:val="center"/>
          </w:tcPr>
          <w:p>
            <w:pPr>
              <w:pStyle w:val="TableContents"/>
              <w:bidi w:val="0"/>
              <w:spacing w:before="0" w:after="283"/>
              <w:jc w:val="right"/>
              <w:rPr/>
            </w:pPr>
            <w:r>
              <w:rPr/>
              <w:t>84</w:t>
            </w:r>
          </w:p>
        </w:tc>
      </w:tr>
      <w:tr>
        <w:trPr/>
        <w:tc>
          <w:tcPr>
            <w:tcW w:w="1220" w:type="dxa"/>
            <w:tcBorders/>
            <w:vAlign w:val="center"/>
          </w:tcPr>
          <w:p>
            <w:pPr>
              <w:pStyle w:val="TableContents"/>
              <w:bidi w:val="0"/>
              <w:spacing w:before="0" w:after="283"/>
              <w:jc w:val="left"/>
              <w:rPr/>
            </w:pPr>
            <w:r>
              <w:rPr/>
              <w:t>Section 7.10</w:t>
            </w:r>
          </w:p>
        </w:tc>
        <w:tc>
          <w:tcPr>
            <w:tcW w:w="3230" w:type="dxa"/>
            <w:tcBorders/>
            <w:vAlign w:val="center"/>
          </w:tcPr>
          <w:p>
            <w:pPr>
              <w:pStyle w:val="TableContents"/>
              <w:bidi w:val="0"/>
              <w:spacing w:before="0" w:after="283"/>
              <w:jc w:val="left"/>
              <w:rPr/>
            </w:pPr>
            <w:r>
              <w:rPr/>
              <w:t>Successor Trustee by Merger, etc.</w:t>
            </w:r>
          </w:p>
        </w:tc>
        <w:tc>
          <w:tcPr>
            <w:tcW w:w="275" w:type="dxa"/>
            <w:tcBorders/>
            <w:vAlign w:val="center"/>
          </w:tcPr>
          <w:p>
            <w:pPr>
              <w:pStyle w:val="TableContents"/>
              <w:bidi w:val="0"/>
              <w:spacing w:before="0" w:after="283"/>
              <w:jc w:val="right"/>
              <w:rPr/>
            </w:pPr>
            <w:r>
              <w:rPr/>
              <w:t>84</w:t>
            </w:r>
          </w:p>
        </w:tc>
      </w:tr>
      <w:tr>
        <w:trPr/>
        <w:tc>
          <w:tcPr>
            <w:tcW w:w="1220" w:type="dxa"/>
            <w:tcBorders/>
            <w:vAlign w:val="center"/>
          </w:tcPr>
          <w:p>
            <w:pPr>
              <w:pStyle w:val="TableContents"/>
              <w:bidi w:val="0"/>
              <w:spacing w:before="0" w:after="283"/>
              <w:jc w:val="left"/>
              <w:rPr/>
            </w:pPr>
            <w:r>
              <w:rPr/>
              <w:t>Section 7.11</w:t>
            </w:r>
          </w:p>
        </w:tc>
        <w:tc>
          <w:tcPr>
            <w:tcW w:w="3230" w:type="dxa"/>
            <w:tcBorders/>
            <w:vAlign w:val="center"/>
          </w:tcPr>
          <w:p>
            <w:pPr>
              <w:pStyle w:val="TableContents"/>
              <w:bidi w:val="0"/>
              <w:spacing w:before="0" w:after="283"/>
              <w:jc w:val="left"/>
              <w:rPr/>
            </w:pPr>
            <w:r>
              <w:rPr/>
              <w:t>Eligibility; Disqualification</w:t>
            </w:r>
          </w:p>
        </w:tc>
        <w:tc>
          <w:tcPr>
            <w:tcW w:w="275" w:type="dxa"/>
            <w:tcBorders/>
            <w:vAlign w:val="center"/>
          </w:tcPr>
          <w:p>
            <w:pPr>
              <w:pStyle w:val="TableContents"/>
              <w:bidi w:val="0"/>
              <w:spacing w:before="0" w:after="283"/>
              <w:jc w:val="right"/>
              <w:rPr/>
            </w:pPr>
            <w:r>
              <w:rPr/>
              <w:t>84</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br/>
        <w:t>LEGAL DEFEASANCE AND COVENANT DEFEASANCE</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179"/>
        <w:gridCol w:w="8750"/>
        <w:gridCol w:w="276"/>
      </w:tblGrid>
      <w:tr>
        <w:trPr/>
        <w:tc>
          <w:tcPr>
            <w:tcW w:w="1179" w:type="dxa"/>
            <w:tcBorders/>
            <w:vAlign w:val="center"/>
          </w:tcPr>
          <w:p>
            <w:pPr>
              <w:pStyle w:val="TableContents"/>
              <w:bidi w:val="0"/>
              <w:spacing w:before="0" w:after="283"/>
              <w:jc w:val="left"/>
              <w:rPr/>
            </w:pPr>
            <w:r>
              <w:rPr/>
              <w:t>Section 8.01</w:t>
            </w:r>
          </w:p>
        </w:tc>
        <w:tc>
          <w:tcPr>
            <w:tcW w:w="8750" w:type="dxa"/>
            <w:tcBorders/>
            <w:vAlign w:val="center"/>
          </w:tcPr>
          <w:p>
            <w:pPr>
              <w:pStyle w:val="TableContents"/>
              <w:bidi w:val="0"/>
              <w:spacing w:before="0" w:after="283"/>
              <w:jc w:val="left"/>
              <w:rPr/>
            </w:pPr>
            <w:r>
              <w:rPr/>
              <w:t>Option To Effect Legal Defeasance or Covenant Defeasance</w:t>
            </w:r>
          </w:p>
        </w:tc>
        <w:tc>
          <w:tcPr>
            <w:tcW w:w="276" w:type="dxa"/>
            <w:tcBorders/>
            <w:vAlign w:val="center"/>
          </w:tcPr>
          <w:p>
            <w:pPr>
              <w:pStyle w:val="TableContents"/>
              <w:bidi w:val="0"/>
              <w:spacing w:before="0" w:after="283"/>
              <w:jc w:val="right"/>
              <w:rPr/>
            </w:pPr>
            <w:r>
              <w:rPr/>
              <w:t>85</w:t>
            </w:r>
          </w:p>
        </w:tc>
      </w:tr>
      <w:tr>
        <w:trPr/>
        <w:tc>
          <w:tcPr>
            <w:tcW w:w="1179" w:type="dxa"/>
            <w:tcBorders/>
            <w:vAlign w:val="center"/>
          </w:tcPr>
          <w:p>
            <w:pPr>
              <w:pStyle w:val="TableContents"/>
              <w:bidi w:val="0"/>
              <w:spacing w:before="0" w:after="283"/>
              <w:jc w:val="left"/>
              <w:rPr/>
            </w:pPr>
            <w:r>
              <w:rPr/>
              <w:t>Section 8.02</w:t>
            </w:r>
          </w:p>
        </w:tc>
        <w:tc>
          <w:tcPr>
            <w:tcW w:w="8750" w:type="dxa"/>
            <w:tcBorders/>
            <w:vAlign w:val="center"/>
          </w:tcPr>
          <w:p>
            <w:pPr>
              <w:pStyle w:val="TableContents"/>
              <w:bidi w:val="0"/>
              <w:spacing w:before="0" w:after="283"/>
              <w:jc w:val="left"/>
              <w:rPr/>
            </w:pPr>
            <w:r>
              <w:rPr/>
              <w:t>Legal Defeasance and Discharge</w:t>
            </w:r>
          </w:p>
        </w:tc>
        <w:tc>
          <w:tcPr>
            <w:tcW w:w="276" w:type="dxa"/>
            <w:tcBorders/>
            <w:vAlign w:val="center"/>
          </w:tcPr>
          <w:p>
            <w:pPr>
              <w:pStyle w:val="TableContents"/>
              <w:bidi w:val="0"/>
              <w:spacing w:before="0" w:after="283"/>
              <w:jc w:val="right"/>
              <w:rPr/>
            </w:pPr>
            <w:r>
              <w:rPr/>
              <w:t>85</w:t>
            </w:r>
          </w:p>
        </w:tc>
      </w:tr>
      <w:tr>
        <w:trPr/>
        <w:tc>
          <w:tcPr>
            <w:tcW w:w="1179" w:type="dxa"/>
            <w:tcBorders/>
            <w:vAlign w:val="center"/>
          </w:tcPr>
          <w:p>
            <w:pPr>
              <w:pStyle w:val="TableContents"/>
              <w:bidi w:val="0"/>
              <w:spacing w:before="0" w:after="283"/>
              <w:jc w:val="left"/>
              <w:rPr/>
            </w:pPr>
            <w:r>
              <w:rPr/>
              <w:t>Section 8.03</w:t>
            </w:r>
          </w:p>
        </w:tc>
        <w:tc>
          <w:tcPr>
            <w:tcW w:w="8750" w:type="dxa"/>
            <w:tcBorders/>
            <w:vAlign w:val="center"/>
          </w:tcPr>
          <w:p>
            <w:pPr>
              <w:pStyle w:val="TableContents"/>
              <w:bidi w:val="0"/>
              <w:spacing w:before="0" w:after="283"/>
              <w:jc w:val="left"/>
              <w:rPr/>
            </w:pPr>
            <w:r>
              <w:rPr/>
              <w:t>Covenant Defeasance</w:t>
            </w:r>
          </w:p>
        </w:tc>
        <w:tc>
          <w:tcPr>
            <w:tcW w:w="276" w:type="dxa"/>
            <w:tcBorders/>
            <w:vAlign w:val="center"/>
          </w:tcPr>
          <w:p>
            <w:pPr>
              <w:pStyle w:val="TableContents"/>
              <w:bidi w:val="0"/>
              <w:spacing w:before="0" w:after="283"/>
              <w:jc w:val="right"/>
              <w:rPr/>
            </w:pPr>
            <w:r>
              <w:rPr/>
              <w:t>85</w:t>
            </w:r>
          </w:p>
        </w:tc>
      </w:tr>
      <w:tr>
        <w:trPr/>
        <w:tc>
          <w:tcPr>
            <w:tcW w:w="1179" w:type="dxa"/>
            <w:tcBorders/>
            <w:vAlign w:val="center"/>
          </w:tcPr>
          <w:p>
            <w:pPr>
              <w:pStyle w:val="TableContents"/>
              <w:bidi w:val="0"/>
              <w:spacing w:before="0" w:after="283"/>
              <w:jc w:val="left"/>
              <w:rPr/>
            </w:pPr>
            <w:r>
              <w:rPr/>
              <w:t>Section 8.04</w:t>
            </w:r>
          </w:p>
        </w:tc>
        <w:tc>
          <w:tcPr>
            <w:tcW w:w="8750" w:type="dxa"/>
            <w:tcBorders/>
            <w:vAlign w:val="center"/>
          </w:tcPr>
          <w:p>
            <w:pPr>
              <w:pStyle w:val="TableContents"/>
              <w:bidi w:val="0"/>
              <w:spacing w:before="0" w:after="283"/>
              <w:jc w:val="left"/>
              <w:rPr/>
            </w:pPr>
            <w:r>
              <w:rPr/>
              <w:t>Conditions to Legal or Covenant Defeasance</w:t>
            </w:r>
          </w:p>
        </w:tc>
        <w:tc>
          <w:tcPr>
            <w:tcW w:w="276" w:type="dxa"/>
            <w:tcBorders/>
            <w:vAlign w:val="center"/>
          </w:tcPr>
          <w:p>
            <w:pPr>
              <w:pStyle w:val="TableContents"/>
              <w:bidi w:val="0"/>
              <w:spacing w:before="0" w:after="283"/>
              <w:jc w:val="right"/>
              <w:rPr/>
            </w:pPr>
            <w:r>
              <w:rPr/>
              <w:t>86</w:t>
            </w:r>
          </w:p>
        </w:tc>
      </w:tr>
      <w:tr>
        <w:trPr/>
        <w:tc>
          <w:tcPr>
            <w:tcW w:w="1179" w:type="dxa"/>
            <w:tcBorders/>
            <w:vAlign w:val="center"/>
          </w:tcPr>
          <w:p>
            <w:pPr>
              <w:pStyle w:val="TableContents"/>
              <w:bidi w:val="0"/>
              <w:spacing w:before="0" w:after="283"/>
              <w:jc w:val="left"/>
              <w:rPr/>
            </w:pPr>
            <w:r>
              <w:rPr/>
              <w:t>Section 8.05</w:t>
            </w:r>
          </w:p>
        </w:tc>
        <w:tc>
          <w:tcPr>
            <w:tcW w:w="8750" w:type="dxa"/>
            <w:tcBorders/>
            <w:vAlign w:val="center"/>
          </w:tcPr>
          <w:p>
            <w:pPr>
              <w:pStyle w:val="TableContents"/>
              <w:bidi w:val="0"/>
              <w:spacing w:before="0" w:after="283"/>
              <w:jc w:val="left"/>
              <w:rPr/>
            </w:pPr>
            <w:r>
              <w:rPr/>
              <w:t>Deposited Money and Government Securities To Be Held in Trust; Other Miscellaneous Provisions</w:t>
            </w:r>
          </w:p>
        </w:tc>
        <w:tc>
          <w:tcPr>
            <w:tcW w:w="276" w:type="dxa"/>
            <w:tcBorders/>
            <w:vAlign w:val="center"/>
          </w:tcPr>
          <w:p>
            <w:pPr>
              <w:pStyle w:val="TableContents"/>
              <w:bidi w:val="0"/>
              <w:spacing w:before="0" w:after="283"/>
              <w:jc w:val="right"/>
              <w:rPr/>
            </w:pPr>
            <w:r>
              <w:rPr/>
              <w:t>87</w:t>
            </w:r>
          </w:p>
        </w:tc>
      </w:tr>
      <w:tr>
        <w:trPr/>
        <w:tc>
          <w:tcPr>
            <w:tcW w:w="1179" w:type="dxa"/>
            <w:tcBorders/>
            <w:vAlign w:val="center"/>
          </w:tcPr>
          <w:p>
            <w:pPr>
              <w:pStyle w:val="TableContents"/>
              <w:bidi w:val="0"/>
              <w:spacing w:before="0" w:after="283"/>
              <w:jc w:val="left"/>
              <w:rPr/>
            </w:pPr>
            <w:r>
              <w:rPr/>
              <w:t>Section 8.06</w:t>
            </w:r>
          </w:p>
        </w:tc>
        <w:tc>
          <w:tcPr>
            <w:tcW w:w="8750" w:type="dxa"/>
            <w:tcBorders/>
            <w:vAlign w:val="center"/>
          </w:tcPr>
          <w:p>
            <w:pPr>
              <w:pStyle w:val="TableContents"/>
              <w:bidi w:val="0"/>
              <w:spacing w:before="0" w:after="283"/>
              <w:jc w:val="left"/>
              <w:rPr/>
            </w:pPr>
            <w:r>
              <w:rPr/>
              <w:t>Repayment to Issuer</w:t>
            </w:r>
          </w:p>
        </w:tc>
        <w:tc>
          <w:tcPr>
            <w:tcW w:w="276" w:type="dxa"/>
            <w:tcBorders/>
            <w:vAlign w:val="center"/>
          </w:tcPr>
          <w:p>
            <w:pPr>
              <w:pStyle w:val="TableContents"/>
              <w:bidi w:val="0"/>
              <w:spacing w:before="0" w:after="283"/>
              <w:jc w:val="right"/>
              <w:rPr/>
            </w:pPr>
            <w:r>
              <w:rPr/>
              <w:t>88</w:t>
            </w:r>
          </w:p>
        </w:tc>
      </w:tr>
      <w:tr>
        <w:trPr/>
        <w:tc>
          <w:tcPr>
            <w:tcW w:w="1179" w:type="dxa"/>
            <w:tcBorders/>
            <w:vAlign w:val="center"/>
          </w:tcPr>
          <w:p>
            <w:pPr>
              <w:pStyle w:val="TableContents"/>
              <w:bidi w:val="0"/>
              <w:spacing w:before="0" w:after="283"/>
              <w:jc w:val="left"/>
              <w:rPr/>
            </w:pPr>
            <w:r>
              <w:rPr/>
              <w:t>Section 8.07</w:t>
            </w:r>
          </w:p>
        </w:tc>
        <w:tc>
          <w:tcPr>
            <w:tcW w:w="8750" w:type="dxa"/>
            <w:tcBorders/>
            <w:vAlign w:val="center"/>
          </w:tcPr>
          <w:p>
            <w:pPr>
              <w:pStyle w:val="TableContents"/>
              <w:bidi w:val="0"/>
              <w:spacing w:before="0" w:after="283"/>
              <w:jc w:val="left"/>
              <w:rPr/>
            </w:pPr>
            <w:r>
              <w:rPr/>
              <w:t>Reinstatement</w:t>
            </w:r>
          </w:p>
        </w:tc>
        <w:tc>
          <w:tcPr>
            <w:tcW w:w="276" w:type="dxa"/>
            <w:tcBorders/>
            <w:vAlign w:val="center"/>
          </w:tcPr>
          <w:p>
            <w:pPr>
              <w:pStyle w:val="TableContents"/>
              <w:bidi w:val="0"/>
              <w:spacing w:before="0" w:after="283"/>
              <w:jc w:val="right"/>
              <w:rPr/>
            </w:pPr>
            <w:r>
              <w:rPr/>
              <w:t>88</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br/>
        <w:t>AMENDMENT, SUPPLEMENT AND WAIVER</w:t>
      </w:r>
    </w:p>
    <w:p>
      <w:pPr>
        <w:pStyle w:val="TextBody"/>
        <w:bidi w:val="0"/>
        <w:spacing w:before="0" w:after="0"/>
        <w:ind w:left="0" w:right="0" w:hanging="0"/>
        <w:jc w:val="center"/>
        <w:rPr>
          <w:caps/>
        </w:rPr>
      </w:pPr>
      <w:r>
        <w:rPr>
          <w:caps/>
        </w:rPr>
        <w:t> </w:t>
      </w:r>
    </w:p>
    <w:tbl>
      <w:tblPr>
        <w:tblW w:w="5055" w:type="dxa"/>
        <w:jc w:val="left"/>
        <w:tblInd w:w="0" w:type="dxa"/>
        <w:tblLayout w:type="fixed"/>
        <w:tblCellMar>
          <w:top w:w="0" w:type="dxa"/>
          <w:left w:w="0" w:type="dxa"/>
          <w:bottom w:w="0" w:type="dxa"/>
          <w:right w:w="0" w:type="dxa"/>
        </w:tblCellMar>
      </w:tblPr>
      <w:tblGrid>
        <w:gridCol w:w="1220"/>
        <w:gridCol w:w="3560"/>
        <w:gridCol w:w="275"/>
      </w:tblGrid>
      <w:tr>
        <w:trPr/>
        <w:tc>
          <w:tcPr>
            <w:tcW w:w="1220" w:type="dxa"/>
            <w:tcBorders/>
            <w:vAlign w:val="center"/>
          </w:tcPr>
          <w:p>
            <w:pPr>
              <w:pStyle w:val="TableContents"/>
              <w:bidi w:val="0"/>
              <w:spacing w:before="0" w:after="283"/>
              <w:jc w:val="left"/>
              <w:rPr/>
            </w:pPr>
            <w:r>
              <w:rPr/>
              <w:t>Section 9.01</w:t>
            </w:r>
          </w:p>
        </w:tc>
        <w:tc>
          <w:tcPr>
            <w:tcW w:w="3560" w:type="dxa"/>
            <w:tcBorders/>
            <w:vAlign w:val="center"/>
          </w:tcPr>
          <w:p>
            <w:pPr>
              <w:pStyle w:val="TableContents"/>
              <w:bidi w:val="0"/>
              <w:spacing w:before="0" w:after="283"/>
              <w:jc w:val="left"/>
              <w:rPr/>
            </w:pPr>
            <w:r>
              <w:rPr/>
              <w:t>Without Consent of Holders of Notes</w:t>
            </w:r>
          </w:p>
        </w:tc>
        <w:tc>
          <w:tcPr>
            <w:tcW w:w="275" w:type="dxa"/>
            <w:tcBorders/>
            <w:vAlign w:val="center"/>
          </w:tcPr>
          <w:p>
            <w:pPr>
              <w:pStyle w:val="TableContents"/>
              <w:bidi w:val="0"/>
              <w:spacing w:before="0" w:after="283"/>
              <w:jc w:val="right"/>
              <w:rPr/>
            </w:pPr>
            <w:r>
              <w:rPr/>
              <w:t>88</w:t>
            </w:r>
          </w:p>
        </w:tc>
      </w:tr>
      <w:tr>
        <w:trPr/>
        <w:tc>
          <w:tcPr>
            <w:tcW w:w="1220" w:type="dxa"/>
            <w:tcBorders/>
            <w:vAlign w:val="center"/>
          </w:tcPr>
          <w:p>
            <w:pPr>
              <w:pStyle w:val="TableContents"/>
              <w:bidi w:val="0"/>
              <w:spacing w:before="0" w:after="283"/>
              <w:jc w:val="left"/>
              <w:rPr/>
            </w:pPr>
            <w:r>
              <w:rPr/>
              <w:t>Section 9.02</w:t>
            </w:r>
          </w:p>
        </w:tc>
        <w:tc>
          <w:tcPr>
            <w:tcW w:w="3560" w:type="dxa"/>
            <w:tcBorders/>
            <w:vAlign w:val="center"/>
          </w:tcPr>
          <w:p>
            <w:pPr>
              <w:pStyle w:val="TableContents"/>
              <w:bidi w:val="0"/>
              <w:spacing w:before="0" w:after="283"/>
              <w:jc w:val="left"/>
              <w:rPr/>
            </w:pPr>
            <w:r>
              <w:rPr/>
              <w:t>With Consent of Holders of Notes</w:t>
            </w:r>
          </w:p>
        </w:tc>
        <w:tc>
          <w:tcPr>
            <w:tcW w:w="275" w:type="dxa"/>
            <w:tcBorders/>
            <w:vAlign w:val="center"/>
          </w:tcPr>
          <w:p>
            <w:pPr>
              <w:pStyle w:val="TableContents"/>
              <w:bidi w:val="0"/>
              <w:spacing w:before="0" w:after="283"/>
              <w:jc w:val="right"/>
              <w:rPr/>
            </w:pPr>
            <w:r>
              <w:rPr/>
              <w:t>89</w:t>
            </w:r>
          </w:p>
        </w:tc>
      </w:tr>
      <w:tr>
        <w:trPr/>
        <w:tc>
          <w:tcPr>
            <w:tcW w:w="1220" w:type="dxa"/>
            <w:tcBorders/>
            <w:vAlign w:val="center"/>
          </w:tcPr>
          <w:p>
            <w:pPr>
              <w:pStyle w:val="TableContents"/>
              <w:bidi w:val="0"/>
              <w:spacing w:before="0" w:after="283"/>
              <w:jc w:val="left"/>
              <w:rPr/>
            </w:pPr>
            <w:r>
              <w:rPr/>
              <w:t>Section 9.03</w:t>
            </w:r>
          </w:p>
        </w:tc>
        <w:tc>
          <w:tcPr>
            <w:tcW w:w="3560"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91</w:t>
            </w:r>
          </w:p>
        </w:tc>
      </w:tr>
      <w:tr>
        <w:trPr/>
        <w:tc>
          <w:tcPr>
            <w:tcW w:w="1220" w:type="dxa"/>
            <w:tcBorders/>
            <w:vAlign w:val="center"/>
          </w:tcPr>
          <w:p>
            <w:pPr>
              <w:pStyle w:val="TableContents"/>
              <w:bidi w:val="0"/>
              <w:spacing w:before="0" w:after="283"/>
              <w:jc w:val="left"/>
              <w:rPr/>
            </w:pPr>
            <w:r>
              <w:rPr/>
              <w:t>Section 9.04</w:t>
            </w:r>
          </w:p>
        </w:tc>
        <w:tc>
          <w:tcPr>
            <w:tcW w:w="3560" w:type="dxa"/>
            <w:tcBorders/>
            <w:vAlign w:val="center"/>
          </w:tcPr>
          <w:p>
            <w:pPr>
              <w:pStyle w:val="TableContents"/>
              <w:bidi w:val="0"/>
              <w:spacing w:before="0" w:after="283"/>
              <w:jc w:val="left"/>
              <w:rPr/>
            </w:pPr>
            <w:r>
              <w:rPr/>
              <w:t>Revocation and Effect of Consents</w:t>
            </w:r>
          </w:p>
        </w:tc>
        <w:tc>
          <w:tcPr>
            <w:tcW w:w="275" w:type="dxa"/>
            <w:tcBorders/>
            <w:vAlign w:val="center"/>
          </w:tcPr>
          <w:p>
            <w:pPr>
              <w:pStyle w:val="TableContents"/>
              <w:bidi w:val="0"/>
              <w:spacing w:before="0" w:after="283"/>
              <w:jc w:val="right"/>
              <w:rPr/>
            </w:pPr>
            <w:r>
              <w:rPr/>
              <w:t>91</w:t>
            </w:r>
          </w:p>
        </w:tc>
      </w:tr>
      <w:tr>
        <w:trPr/>
        <w:tc>
          <w:tcPr>
            <w:tcW w:w="1220" w:type="dxa"/>
            <w:tcBorders/>
            <w:vAlign w:val="center"/>
          </w:tcPr>
          <w:p>
            <w:pPr>
              <w:pStyle w:val="TableContents"/>
              <w:bidi w:val="0"/>
              <w:spacing w:before="0" w:after="283"/>
              <w:jc w:val="left"/>
              <w:rPr/>
            </w:pPr>
            <w:r>
              <w:rPr/>
              <w:t>Section 9.05</w:t>
            </w:r>
          </w:p>
        </w:tc>
        <w:tc>
          <w:tcPr>
            <w:tcW w:w="3560" w:type="dxa"/>
            <w:tcBorders/>
            <w:vAlign w:val="center"/>
          </w:tcPr>
          <w:p>
            <w:pPr>
              <w:pStyle w:val="TableContents"/>
              <w:bidi w:val="0"/>
              <w:spacing w:before="0" w:after="283"/>
              <w:jc w:val="left"/>
              <w:rPr/>
            </w:pPr>
            <w:r>
              <w:rPr/>
              <w:t>Notation on or Exchange of Notes</w:t>
            </w:r>
          </w:p>
        </w:tc>
        <w:tc>
          <w:tcPr>
            <w:tcW w:w="275" w:type="dxa"/>
            <w:tcBorders/>
            <w:vAlign w:val="center"/>
          </w:tcPr>
          <w:p>
            <w:pPr>
              <w:pStyle w:val="TableContents"/>
              <w:bidi w:val="0"/>
              <w:spacing w:before="0" w:after="283"/>
              <w:jc w:val="right"/>
              <w:rPr/>
            </w:pPr>
            <w:r>
              <w:rPr/>
              <w:t>91</w:t>
            </w:r>
          </w:p>
        </w:tc>
      </w:tr>
      <w:tr>
        <w:trPr/>
        <w:tc>
          <w:tcPr>
            <w:tcW w:w="1220" w:type="dxa"/>
            <w:tcBorders/>
            <w:vAlign w:val="center"/>
          </w:tcPr>
          <w:p>
            <w:pPr>
              <w:pStyle w:val="TableContents"/>
              <w:bidi w:val="0"/>
              <w:spacing w:before="0" w:after="283"/>
              <w:jc w:val="left"/>
              <w:rPr/>
            </w:pPr>
            <w:r>
              <w:rPr/>
              <w:t>Section 9.06</w:t>
            </w:r>
          </w:p>
        </w:tc>
        <w:tc>
          <w:tcPr>
            <w:tcW w:w="3560" w:type="dxa"/>
            <w:tcBorders/>
            <w:vAlign w:val="center"/>
          </w:tcPr>
          <w:p>
            <w:pPr>
              <w:pStyle w:val="TableContents"/>
              <w:bidi w:val="0"/>
              <w:spacing w:before="0" w:after="283"/>
              <w:jc w:val="left"/>
              <w:rPr/>
            </w:pPr>
            <w:r>
              <w:rPr/>
              <w:t>Trustee To Sign Amendments, etc.</w:t>
            </w:r>
          </w:p>
        </w:tc>
        <w:tc>
          <w:tcPr>
            <w:tcW w:w="275" w:type="dxa"/>
            <w:tcBorders/>
            <w:vAlign w:val="center"/>
          </w:tcPr>
          <w:p>
            <w:pPr>
              <w:pStyle w:val="TableContents"/>
              <w:bidi w:val="0"/>
              <w:spacing w:before="0" w:after="283"/>
              <w:jc w:val="right"/>
              <w:rPr/>
            </w:pPr>
            <w:r>
              <w:rPr/>
              <w:t>91</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br/>
        <w:t>GUARANTEES</w:t>
      </w:r>
    </w:p>
    <w:p>
      <w:pPr>
        <w:pStyle w:val="TextBody"/>
        <w:bidi w:val="0"/>
        <w:spacing w:before="0" w:after="0"/>
        <w:ind w:left="0" w:right="0" w:hanging="0"/>
        <w:jc w:val="center"/>
        <w:rPr>
          <w:caps/>
        </w:rPr>
      </w:pPr>
      <w:r>
        <w:rPr>
          <w:caps/>
        </w:rPr>
        <w:t> </w:t>
      </w:r>
    </w:p>
    <w:tbl>
      <w:tblPr>
        <w:tblW w:w="4785" w:type="dxa"/>
        <w:jc w:val="left"/>
        <w:tblInd w:w="0" w:type="dxa"/>
        <w:tblLayout w:type="fixed"/>
        <w:tblCellMar>
          <w:top w:w="0" w:type="dxa"/>
          <w:left w:w="0" w:type="dxa"/>
          <w:bottom w:w="0" w:type="dxa"/>
          <w:right w:w="0" w:type="dxa"/>
        </w:tblCellMar>
      </w:tblPr>
      <w:tblGrid>
        <w:gridCol w:w="1340"/>
        <w:gridCol w:w="3170"/>
        <w:gridCol w:w="275"/>
      </w:tblGrid>
      <w:tr>
        <w:trPr/>
        <w:tc>
          <w:tcPr>
            <w:tcW w:w="1340" w:type="dxa"/>
            <w:tcBorders/>
            <w:vAlign w:val="center"/>
          </w:tcPr>
          <w:p>
            <w:pPr>
              <w:pStyle w:val="TableContents"/>
              <w:bidi w:val="0"/>
              <w:spacing w:before="0" w:after="283"/>
              <w:jc w:val="left"/>
              <w:rPr/>
            </w:pPr>
            <w:r>
              <w:rPr/>
              <w:t>Section 10.01</w:t>
            </w:r>
          </w:p>
        </w:tc>
        <w:tc>
          <w:tcPr>
            <w:tcW w:w="3170" w:type="dxa"/>
            <w:tcBorders/>
            <w:vAlign w:val="center"/>
          </w:tcPr>
          <w:p>
            <w:pPr>
              <w:pStyle w:val="TableContents"/>
              <w:bidi w:val="0"/>
              <w:spacing w:before="0" w:after="283"/>
              <w:jc w:val="left"/>
              <w:rPr/>
            </w:pPr>
            <w:r>
              <w:rPr/>
              <w:t>Guarantee</w:t>
            </w:r>
          </w:p>
        </w:tc>
        <w:tc>
          <w:tcPr>
            <w:tcW w:w="275" w:type="dxa"/>
            <w:tcBorders/>
            <w:vAlign w:val="center"/>
          </w:tcPr>
          <w:p>
            <w:pPr>
              <w:pStyle w:val="TableContents"/>
              <w:bidi w:val="0"/>
              <w:spacing w:before="0" w:after="283"/>
              <w:jc w:val="right"/>
              <w:rPr/>
            </w:pPr>
            <w:r>
              <w:rPr/>
              <w:t>92</w:t>
            </w:r>
          </w:p>
        </w:tc>
      </w:tr>
      <w:tr>
        <w:trPr/>
        <w:tc>
          <w:tcPr>
            <w:tcW w:w="1340" w:type="dxa"/>
            <w:tcBorders/>
            <w:vAlign w:val="center"/>
          </w:tcPr>
          <w:p>
            <w:pPr>
              <w:pStyle w:val="TableContents"/>
              <w:bidi w:val="0"/>
              <w:spacing w:before="0" w:after="283"/>
              <w:jc w:val="left"/>
              <w:rPr/>
            </w:pPr>
            <w:r>
              <w:rPr/>
              <w:t>Section 10.02</w:t>
            </w:r>
          </w:p>
        </w:tc>
        <w:tc>
          <w:tcPr>
            <w:tcW w:w="3170" w:type="dxa"/>
            <w:tcBorders/>
            <w:vAlign w:val="center"/>
          </w:tcPr>
          <w:p>
            <w:pPr>
              <w:pStyle w:val="TableContents"/>
              <w:bidi w:val="0"/>
              <w:spacing w:before="0" w:after="283"/>
              <w:jc w:val="left"/>
              <w:rPr/>
            </w:pPr>
            <w:r>
              <w:rPr/>
              <w:t>Limitation on Guarantor Liability</w:t>
            </w:r>
          </w:p>
        </w:tc>
        <w:tc>
          <w:tcPr>
            <w:tcW w:w="275" w:type="dxa"/>
            <w:tcBorders/>
            <w:vAlign w:val="center"/>
          </w:tcPr>
          <w:p>
            <w:pPr>
              <w:pStyle w:val="TableContents"/>
              <w:bidi w:val="0"/>
              <w:spacing w:before="0" w:after="283"/>
              <w:jc w:val="right"/>
              <w:rPr/>
            </w:pPr>
            <w:r>
              <w:rPr/>
              <w:t>93</w:t>
            </w:r>
          </w:p>
        </w:tc>
      </w:tr>
      <w:tr>
        <w:trPr/>
        <w:tc>
          <w:tcPr>
            <w:tcW w:w="1340" w:type="dxa"/>
            <w:tcBorders/>
            <w:vAlign w:val="center"/>
          </w:tcPr>
          <w:p>
            <w:pPr>
              <w:pStyle w:val="TableContents"/>
              <w:bidi w:val="0"/>
              <w:spacing w:before="0" w:after="283"/>
              <w:jc w:val="left"/>
              <w:rPr/>
            </w:pPr>
            <w:r>
              <w:rPr/>
              <w:t>Section 10.03</w:t>
            </w:r>
          </w:p>
        </w:tc>
        <w:tc>
          <w:tcPr>
            <w:tcW w:w="3170" w:type="dxa"/>
            <w:tcBorders/>
            <w:vAlign w:val="center"/>
          </w:tcPr>
          <w:p>
            <w:pPr>
              <w:pStyle w:val="TableContents"/>
              <w:bidi w:val="0"/>
              <w:spacing w:before="0" w:after="283"/>
              <w:jc w:val="left"/>
              <w:rPr/>
            </w:pPr>
            <w:r>
              <w:rPr/>
              <w:t>Execution and Delivery</w:t>
            </w:r>
          </w:p>
        </w:tc>
        <w:tc>
          <w:tcPr>
            <w:tcW w:w="275" w:type="dxa"/>
            <w:tcBorders/>
            <w:vAlign w:val="center"/>
          </w:tcPr>
          <w:p>
            <w:pPr>
              <w:pStyle w:val="TableContents"/>
              <w:bidi w:val="0"/>
              <w:spacing w:before="0" w:after="283"/>
              <w:jc w:val="right"/>
              <w:rPr/>
            </w:pPr>
            <w:r>
              <w:rPr/>
              <w:t>94</w:t>
            </w:r>
          </w:p>
        </w:tc>
      </w:tr>
      <w:tr>
        <w:trPr/>
        <w:tc>
          <w:tcPr>
            <w:tcW w:w="1340" w:type="dxa"/>
            <w:tcBorders/>
            <w:vAlign w:val="center"/>
          </w:tcPr>
          <w:p>
            <w:pPr>
              <w:pStyle w:val="TableContents"/>
              <w:bidi w:val="0"/>
              <w:spacing w:before="0" w:after="283"/>
              <w:jc w:val="left"/>
              <w:rPr/>
            </w:pPr>
            <w:r>
              <w:rPr/>
              <w:t>Section 10.04</w:t>
            </w:r>
          </w:p>
        </w:tc>
        <w:tc>
          <w:tcPr>
            <w:tcW w:w="3170" w:type="dxa"/>
            <w:tcBorders/>
            <w:vAlign w:val="center"/>
          </w:tcPr>
          <w:p>
            <w:pPr>
              <w:pStyle w:val="TableContents"/>
              <w:bidi w:val="0"/>
              <w:spacing w:before="0" w:after="283"/>
              <w:jc w:val="left"/>
              <w:rPr/>
            </w:pPr>
            <w:r>
              <w:rPr/>
              <w:t>Subrogation</w:t>
            </w:r>
          </w:p>
        </w:tc>
        <w:tc>
          <w:tcPr>
            <w:tcW w:w="275" w:type="dxa"/>
            <w:tcBorders/>
            <w:vAlign w:val="center"/>
          </w:tcPr>
          <w:p>
            <w:pPr>
              <w:pStyle w:val="TableContents"/>
              <w:bidi w:val="0"/>
              <w:spacing w:before="0" w:after="283"/>
              <w:jc w:val="right"/>
              <w:rPr/>
            </w:pPr>
            <w:r>
              <w:rPr/>
              <w:t>94</w:t>
            </w:r>
          </w:p>
        </w:tc>
      </w:tr>
      <w:tr>
        <w:trPr/>
        <w:tc>
          <w:tcPr>
            <w:tcW w:w="1340" w:type="dxa"/>
            <w:tcBorders/>
            <w:vAlign w:val="center"/>
          </w:tcPr>
          <w:p>
            <w:pPr>
              <w:pStyle w:val="TableContents"/>
              <w:bidi w:val="0"/>
              <w:spacing w:before="0" w:after="283"/>
              <w:jc w:val="left"/>
              <w:rPr/>
            </w:pPr>
            <w:r>
              <w:rPr/>
              <w:t>Section 10.05</w:t>
            </w:r>
          </w:p>
        </w:tc>
        <w:tc>
          <w:tcPr>
            <w:tcW w:w="3170" w:type="dxa"/>
            <w:tcBorders/>
            <w:vAlign w:val="center"/>
          </w:tcPr>
          <w:p>
            <w:pPr>
              <w:pStyle w:val="TableContents"/>
              <w:bidi w:val="0"/>
              <w:spacing w:before="0" w:after="283"/>
              <w:jc w:val="left"/>
              <w:rPr/>
            </w:pPr>
            <w:r>
              <w:rPr/>
              <w:t>Benefits Acknowledged</w:t>
            </w:r>
          </w:p>
        </w:tc>
        <w:tc>
          <w:tcPr>
            <w:tcW w:w="275" w:type="dxa"/>
            <w:tcBorders/>
            <w:vAlign w:val="center"/>
          </w:tcPr>
          <w:p>
            <w:pPr>
              <w:pStyle w:val="TableContents"/>
              <w:bidi w:val="0"/>
              <w:spacing w:before="0" w:after="283"/>
              <w:jc w:val="right"/>
              <w:rPr/>
            </w:pPr>
            <w:r>
              <w:rPr/>
              <w:t>94</w:t>
            </w:r>
          </w:p>
        </w:tc>
      </w:tr>
      <w:tr>
        <w:trPr/>
        <w:tc>
          <w:tcPr>
            <w:tcW w:w="1340" w:type="dxa"/>
            <w:tcBorders/>
            <w:vAlign w:val="center"/>
          </w:tcPr>
          <w:p>
            <w:pPr>
              <w:pStyle w:val="TableContents"/>
              <w:bidi w:val="0"/>
              <w:spacing w:before="0" w:after="283"/>
              <w:jc w:val="left"/>
              <w:rPr/>
            </w:pPr>
            <w:r>
              <w:rPr/>
              <w:t>Section 10.06</w:t>
            </w:r>
          </w:p>
        </w:tc>
        <w:tc>
          <w:tcPr>
            <w:tcW w:w="3170" w:type="dxa"/>
            <w:tcBorders/>
            <w:vAlign w:val="center"/>
          </w:tcPr>
          <w:p>
            <w:pPr>
              <w:pStyle w:val="TableContents"/>
              <w:bidi w:val="0"/>
              <w:spacing w:before="0" w:after="283"/>
              <w:jc w:val="left"/>
              <w:rPr/>
            </w:pPr>
            <w:r>
              <w:rPr/>
              <w:t>Release of Guarantees</w:t>
            </w:r>
          </w:p>
        </w:tc>
        <w:tc>
          <w:tcPr>
            <w:tcW w:w="275" w:type="dxa"/>
            <w:tcBorders/>
            <w:vAlign w:val="center"/>
          </w:tcPr>
          <w:p>
            <w:pPr>
              <w:pStyle w:val="TableContents"/>
              <w:bidi w:val="0"/>
              <w:spacing w:before="0" w:after="283"/>
              <w:jc w:val="right"/>
              <w:rPr/>
            </w:pPr>
            <w:r>
              <w:rPr/>
              <w:t>94</w:t>
            </w:r>
          </w:p>
        </w:tc>
      </w:tr>
    </w:tbl>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60" w:type="dxa"/>
        <w:jc w:val="left"/>
        <w:tblInd w:w="0" w:type="dxa"/>
        <w:tblLayout w:type="fixed"/>
        <w:tblCellMar>
          <w:top w:w="0" w:type="dxa"/>
          <w:left w:w="0" w:type="dxa"/>
          <w:bottom w:w="0" w:type="dxa"/>
          <w:right w:w="0" w:type="dxa"/>
        </w:tblCellMar>
      </w:tblPr>
      <w:tblGrid>
        <w:gridCol w:w="75"/>
        <w:gridCol w:w="60"/>
        <w:gridCol w:w="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br/>
        <w:br/>
        <w:t>SATISFACTION AND DISCHARGE</w:t>
      </w:r>
    </w:p>
    <w:p>
      <w:pPr>
        <w:pStyle w:val="TextBody"/>
        <w:bidi w:val="0"/>
        <w:spacing w:before="0" w:after="0"/>
        <w:ind w:left="0" w:right="0" w:hanging="0"/>
        <w:jc w:val="center"/>
        <w:rPr>
          <w:caps/>
        </w:rPr>
      </w:pPr>
      <w:r>
        <w:rPr>
          <w:caps/>
        </w:rPr>
        <w:t> </w:t>
      </w:r>
    </w:p>
    <w:tbl>
      <w:tblPr>
        <w:tblW w:w="4290" w:type="dxa"/>
        <w:jc w:val="left"/>
        <w:tblInd w:w="0" w:type="dxa"/>
        <w:tblLayout w:type="fixed"/>
        <w:tblCellMar>
          <w:top w:w="0" w:type="dxa"/>
          <w:left w:w="0" w:type="dxa"/>
          <w:bottom w:w="0" w:type="dxa"/>
          <w:right w:w="0" w:type="dxa"/>
        </w:tblCellMar>
      </w:tblPr>
      <w:tblGrid>
        <w:gridCol w:w="1340"/>
        <w:gridCol w:w="2675"/>
        <w:gridCol w:w="275"/>
      </w:tblGrid>
      <w:tr>
        <w:trPr/>
        <w:tc>
          <w:tcPr>
            <w:tcW w:w="1340" w:type="dxa"/>
            <w:tcBorders/>
            <w:vAlign w:val="center"/>
          </w:tcPr>
          <w:p>
            <w:pPr>
              <w:pStyle w:val="TableContents"/>
              <w:bidi w:val="0"/>
              <w:spacing w:before="0" w:after="283"/>
              <w:jc w:val="left"/>
              <w:rPr/>
            </w:pPr>
            <w:r>
              <w:rPr/>
              <w:t>Section 11.01</w:t>
            </w:r>
          </w:p>
        </w:tc>
        <w:tc>
          <w:tcPr>
            <w:tcW w:w="2675" w:type="dxa"/>
            <w:tcBorders/>
            <w:vAlign w:val="center"/>
          </w:tcPr>
          <w:p>
            <w:pPr>
              <w:pStyle w:val="TableContents"/>
              <w:bidi w:val="0"/>
              <w:spacing w:before="0" w:after="283"/>
              <w:jc w:val="left"/>
              <w:rPr/>
            </w:pPr>
            <w:r>
              <w:rPr/>
              <w:t>Satisfaction and Discharge</w:t>
            </w:r>
          </w:p>
        </w:tc>
        <w:tc>
          <w:tcPr>
            <w:tcW w:w="275" w:type="dxa"/>
            <w:tcBorders/>
            <w:vAlign w:val="center"/>
          </w:tcPr>
          <w:p>
            <w:pPr>
              <w:pStyle w:val="TableContents"/>
              <w:bidi w:val="0"/>
              <w:spacing w:before="0" w:after="283"/>
              <w:jc w:val="right"/>
              <w:rPr/>
            </w:pPr>
            <w:r>
              <w:rPr/>
              <w:t>95</w:t>
            </w:r>
          </w:p>
        </w:tc>
      </w:tr>
      <w:tr>
        <w:trPr/>
        <w:tc>
          <w:tcPr>
            <w:tcW w:w="1340" w:type="dxa"/>
            <w:tcBorders/>
            <w:vAlign w:val="center"/>
          </w:tcPr>
          <w:p>
            <w:pPr>
              <w:pStyle w:val="TableContents"/>
              <w:bidi w:val="0"/>
              <w:spacing w:before="0" w:after="283"/>
              <w:jc w:val="left"/>
              <w:rPr/>
            </w:pPr>
            <w:r>
              <w:rPr/>
              <w:t>Section 11.02</w:t>
            </w:r>
          </w:p>
        </w:tc>
        <w:tc>
          <w:tcPr>
            <w:tcW w:w="2675" w:type="dxa"/>
            <w:tcBorders/>
            <w:vAlign w:val="center"/>
          </w:tcPr>
          <w:p>
            <w:pPr>
              <w:pStyle w:val="TableContents"/>
              <w:bidi w:val="0"/>
              <w:spacing w:before="0" w:after="283"/>
              <w:jc w:val="left"/>
              <w:rPr/>
            </w:pPr>
            <w:r>
              <w:rPr/>
              <w:t>Application of Trust Money</w:t>
            </w:r>
          </w:p>
        </w:tc>
        <w:tc>
          <w:tcPr>
            <w:tcW w:w="275" w:type="dxa"/>
            <w:tcBorders/>
            <w:vAlign w:val="center"/>
          </w:tcPr>
          <w:p>
            <w:pPr>
              <w:pStyle w:val="TableContents"/>
              <w:bidi w:val="0"/>
              <w:spacing w:before="0" w:after="283"/>
              <w:jc w:val="right"/>
              <w:rPr/>
            </w:pPr>
            <w:r>
              <w:rPr/>
              <w:t>95</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w:t>
        <w:br/>
        <w:br/>
        <w:t>MISCELLANEOUS</w:t>
      </w:r>
    </w:p>
    <w:p>
      <w:pPr>
        <w:pStyle w:val="TextBody"/>
        <w:bidi w:val="0"/>
        <w:spacing w:before="0" w:after="0"/>
        <w:ind w:left="0" w:right="0" w:hanging="0"/>
        <w:jc w:val="center"/>
        <w:rPr>
          <w:caps/>
        </w:rPr>
      </w:pPr>
      <w:r>
        <w:rPr>
          <w:caps/>
        </w:rPr>
        <w:t> </w:t>
      </w:r>
    </w:p>
    <w:tbl>
      <w:tblPr>
        <w:tblW w:w="8595" w:type="dxa"/>
        <w:jc w:val="left"/>
        <w:tblInd w:w="0" w:type="dxa"/>
        <w:tblLayout w:type="fixed"/>
        <w:tblCellMar>
          <w:top w:w="0" w:type="dxa"/>
          <w:left w:w="0" w:type="dxa"/>
          <w:bottom w:w="0" w:type="dxa"/>
          <w:right w:w="0" w:type="dxa"/>
        </w:tblCellMar>
      </w:tblPr>
      <w:tblGrid>
        <w:gridCol w:w="1340"/>
        <w:gridCol w:w="6980"/>
        <w:gridCol w:w="275"/>
      </w:tblGrid>
      <w:tr>
        <w:trPr/>
        <w:tc>
          <w:tcPr>
            <w:tcW w:w="1340" w:type="dxa"/>
            <w:tcBorders/>
            <w:vAlign w:val="center"/>
          </w:tcPr>
          <w:p>
            <w:pPr>
              <w:pStyle w:val="TableContents"/>
              <w:bidi w:val="0"/>
              <w:spacing w:before="0" w:after="283"/>
              <w:jc w:val="left"/>
              <w:rPr/>
            </w:pPr>
            <w:r>
              <w:rPr/>
              <w:t>Section 12.01</w:t>
            </w:r>
          </w:p>
        </w:tc>
        <w:tc>
          <w:tcPr>
            <w:tcW w:w="6980"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96</w:t>
            </w:r>
          </w:p>
        </w:tc>
      </w:tr>
      <w:tr>
        <w:trPr/>
        <w:tc>
          <w:tcPr>
            <w:tcW w:w="1340" w:type="dxa"/>
            <w:tcBorders/>
            <w:vAlign w:val="center"/>
          </w:tcPr>
          <w:p>
            <w:pPr>
              <w:pStyle w:val="TableContents"/>
              <w:bidi w:val="0"/>
              <w:spacing w:before="0" w:after="283"/>
              <w:jc w:val="left"/>
              <w:rPr/>
            </w:pPr>
            <w:r>
              <w:rPr/>
              <w:t>Section 12.02</w:t>
            </w:r>
          </w:p>
        </w:tc>
        <w:tc>
          <w:tcPr>
            <w:tcW w:w="6980"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96</w:t>
            </w:r>
          </w:p>
        </w:tc>
      </w:tr>
      <w:tr>
        <w:trPr/>
        <w:tc>
          <w:tcPr>
            <w:tcW w:w="1340" w:type="dxa"/>
            <w:tcBorders/>
            <w:vAlign w:val="center"/>
          </w:tcPr>
          <w:p>
            <w:pPr>
              <w:pStyle w:val="TableContents"/>
              <w:bidi w:val="0"/>
              <w:spacing w:before="0" w:after="283"/>
              <w:jc w:val="left"/>
              <w:rPr/>
            </w:pPr>
            <w:r>
              <w:rPr/>
              <w:t>Section 12.03</w:t>
            </w:r>
          </w:p>
        </w:tc>
        <w:tc>
          <w:tcPr>
            <w:tcW w:w="6980"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97</w:t>
            </w:r>
          </w:p>
        </w:tc>
      </w:tr>
      <w:tr>
        <w:trPr/>
        <w:tc>
          <w:tcPr>
            <w:tcW w:w="1340" w:type="dxa"/>
            <w:tcBorders/>
            <w:vAlign w:val="center"/>
          </w:tcPr>
          <w:p>
            <w:pPr>
              <w:pStyle w:val="TableContents"/>
              <w:bidi w:val="0"/>
              <w:spacing w:before="0" w:after="283"/>
              <w:jc w:val="left"/>
              <w:rPr/>
            </w:pPr>
            <w:r>
              <w:rPr/>
              <w:t>Section 12.04</w:t>
            </w:r>
          </w:p>
        </w:tc>
        <w:tc>
          <w:tcPr>
            <w:tcW w:w="6980" w:type="dxa"/>
            <w:tcBorders/>
            <w:vAlign w:val="center"/>
          </w:tcPr>
          <w:p>
            <w:pPr>
              <w:pStyle w:val="TableContents"/>
              <w:bidi w:val="0"/>
              <w:spacing w:before="0" w:after="283"/>
              <w:jc w:val="left"/>
              <w:rPr/>
            </w:pPr>
            <w:r>
              <w:rPr/>
              <w:t>Certificate and Opinion as to Conditions Precedent</w:t>
            </w:r>
          </w:p>
        </w:tc>
        <w:tc>
          <w:tcPr>
            <w:tcW w:w="275" w:type="dxa"/>
            <w:tcBorders/>
            <w:vAlign w:val="center"/>
          </w:tcPr>
          <w:p>
            <w:pPr>
              <w:pStyle w:val="TableContents"/>
              <w:bidi w:val="0"/>
              <w:spacing w:before="0" w:after="283"/>
              <w:jc w:val="right"/>
              <w:rPr/>
            </w:pPr>
            <w:r>
              <w:rPr/>
              <w:t>97</w:t>
            </w:r>
          </w:p>
        </w:tc>
      </w:tr>
      <w:tr>
        <w:trPr/>
        <w:tc>
          <w:tcPr>
            <w:tcW w:w="1340" w:type="dxa"/>
            <w:tcBorders/>
            <w:vAlign w:val="center"/>
          </w:tcPr>
          <w:p>
            <w:pPr>
              <w:pStyle w:val="TableContents"/>
              <w:bidi w:val="0"/>
              <w:spacing w:before="0" w:after="283"/>
              <w:jc w:val="left"/>
              <w:rPr/>
            </w:pPr>
            <w:r>
              <w:rPr/>
              <w:t>Section 12.05</w:t>
            </w:r>
          </w:p>
        </w:tc>
        <w:tc>
          <w:tcPr>
            <w:tcW w:w="6980" w:type="dxa"/>
            <w:tcBorders/>
            <w:vAlign w:val="center"/>
          </w:tcPr>
          <w:p>
            <w:pPr>
              <w:pStyle w:val="TableContents"/>
              <w:bidi w:val="0"/>
              <w:spacing w:before="0" w:after="283"/>
              <w:jc w:val="left"/>
              <w:rPr/>
            </w:pPr>
            <w:r>
              <w:rPr/>
              <w:t>Statements Required in Certificate or Opinion</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12.06</w:t>
            </w:r>
          </w:p>
        </w:tc>
        <w:tc>
          <w:tcPr>
            <w:tcW w:w="6980" w:type="dxa"/>
            <w:tcBorders/>
            <w:vAlign w:val="center"/>
          </w:tcPr>
          <w:p>
            <w:pPr>
              <w:pStyle w:val="TableContents"/>
              <w:bidi w:val="0"/>
              <w:spacing w:before="0" w:after="283"/>
              <w:jc w:val="left"/>
              <w:rPr/>
            </w:pPr>
            <w:r>
              <w:rPr/>
              <w:t>Rules by Trustee and Agents</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12.07</w:t>
            </w:r>
          </w:p>
        </w:tc>
        <w:tc>
          <w:tcPr>
            <w:tcW w:w="6980" w:type="dxa"/>
            <w:tcBorders/>
            <w:vAlign w:val="center"/>
          </w:tcPr>
          <w:p>
            <w:pPr>
              <w:pStyle w:val="TableContents"/>
              <w:bidi w:val="0"/>
              <w:spacing w:before="0" w:after="283"/>
              <w:jc w:val="left"/>
              <w:rPr/>
            </w:pPr>
            <w:r>
              <w:rPr/>
              <w:t>No Personal Liability of Directors, Officers, Employees and Stockholders</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12.08</w:t>
            </w:r>
          </w:p>
        </w:tc>
        <w:tc>
          <w:tcPr>
            <w:tcW w:w="6980" w:type="dxa"/>
            <w:tcBorders/>
            <w:vAlign w:val="center"/>
          </w:tcPr>
          <w:p>
            <w:pPr>
              <w:pStyle w:val="TableContents"/>
              <w:bidi w:val="0"/>
              <w:spacing w:before="0" w:after="283"/>
              <w:jc w:val="left"/>
              <w:rPr/>
            </w:pPr>
            <w:r>
              <w:rPr/>
              <w:t>Governing Law</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12.09</w:t>
            </w:r>
          </w:p>
        </w:tc>
        <w:tc>
          <w:tcPr>
            <w:tcW w:w="6980" w:type="dxa"/>
            <w:tcBorders/>
            <w:vAlign w:val="center"/>
          </w:tcPr>
          <w:p>
            <w:pPr>
              <w:pStyle w:val="TableContents"/>
              <w:bidi w:val="0"/>
              <w:spacing w:before="0" w:after="283"/>
              <w:jc w:val="left"/>
              <w:rPr/>
            </w:pPr>
            <w:r>
              <w:rPr/>
              <w:t>Waiver of Jury Trial</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12.10</w:t>
            </w:r>
          </w:p>
        </w:tc>
        <w:tc>
          <w:tcPr>
            <w:tcW w:w="6980" w:type="dxa"/>
            <w:tcBorders/>
            <w:vAlign w:val="center"/>
          </w:tcPr>
          <w:p>
            <w:pPr>
              <w:pStyle w:val="TableContents"/>
              <w:bidi w:val="0"/>
              <w:spacing w:before="0" w:after="283"/>
              <w:jc w:val="left"/>
              <w:rPr/>
            </w:pPr>
            <w:r>
              <w:rPr/>
              <w:t>Force Majeure</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12.11</w:t>
            </w:r>
          </w:p>
        </w:tc>
        <w:tc>
          <w:tcPr>
            <w:tcW w:w="6980" w:type="dxa"/>
            <w:tcBorders/>
            <w:vAlign w:val="center"/>
          </w:tcPr>
          <w:p>
            <w:pPr>
              <w:pStyle w:val="TableContents"/>
              <w:bidi w:val="0"/>
              <w:spacing w:before="0" w:after="283"/>
              <w:jc w:val="left"/>
              <w:rPr/>
            </w:pPr>
            <w:r>
              <w:rPr/>
              <w:t>No Adverse Interpretation of Other Agreements</w:t>
            </w:r>
          </w:p>
        </w:tc>
        <w:tc>
          <w:tcPr>
            <w:tcW w:w="275" w:type="dxa"/>
            <w:tcBorders/>
            <w:vAlign w:val="center"/>
          </w:tcPr>
          <w:p>
            <w:pPr>
              <w:pStyle w:val="TableContents"/>
              <w:bidi w:val="0"/>
              <w:spacing w:before="0" w:after="283"/>
              <w:jc w:val="right"/>
              <w:rPr/>
            </w:pPr>
            <w:r>
              <w:rPr/>
              <w:t>99</w:t>
            </w:r>
          </w:p>
        </w:tc>
      </w:tr>
      <w:tr>
        <w:trPr/>
        <w:tc>
          <w:tcPr>
            <w:tcW w:w="1340" w:type="dxa"/>
            <w:tcBorders/>
            <w:vAlign w:val="center"/>
          </w:tcPr>
          <w:p>
            <w:pPr>
              <w:pStyle w:val="TableContents"/>
              <w:bidi w:val="0"/>
              <w:spacing w:before="0" w:after="283"/>
              <w:jc w:val="left"/>
              <w:rPr/>
            </w:pPr>
            <w:r>
              <w:rPr/>
              <w:t>Section 12.12</w:t>
            </w:r>
          </w:p>
        </w:tc>
        <w:tc>
          <w:tcPr>
            <w:tcW w:w="6980" w:type="dxa"/>
            <w:tcBorders/>
            <w:vAlign w:val="center"/>
          </w:tcPr>
          <w:p>
            <w:pPr>
              <w:pStyle w:val="TableContents"/>
              <w:bidi w:val="0"/>
              <w:spacing w:before="0" w:after="283"/>
              <w:jc w:val="left"/>
              <w:rPr/>
            </w:pPr>
            <w:r>
              <w:rPr/>
              <w:t>Successors</w:t>
            </w:r>
          </w:p>
        </w:tc>
        <w:tc>
          <w:tcPr>
            <w:tcW w:w="275" w:type="dxa"/>
            <w:tcBorders/>
            <w:vAlign w:val="center"/>
          </w:tcPr>
          <w:p>
            <w:pPr>
              <w:pStyle w:val="TableContents"/>
              <w:bidi w:val="0"/>
              <w:spacing w:before="0" w:after="283"/>
              <w:jc w:val="right"/>
              <w:rPr/>
            </w:pPr>
            <w:r>
              <w:rPr/>
              <w:t>99</w:t>
            </w:r>
          </w:p>
        </w:tc>
      </w:tr>
      <w:tr>
        <w:trPr/>
        <w:tc>
          <w:tcPr>
            <w:tcW w:w="1340" w:type="dxa"/>
            <w:tcBorders/>
            <w:vAlign w:val="center"/>
          </w:tcPr>
          <w:p>
            <w:pPr>
              <w:pStyle w:val="TableContents"/>
              <w:bidi w:val="0"/>
              <w:spacing w:before="0" w:after="283"/>
              <w:jc w:val="left"/>
              <w:rPr/>
            </w:pPr>
            <w:r>
              <w:rPr/>
              <w:t>Section 12.13</w:t>
            </w:r>
          </w:p>
        </w:tc>
        <w:tc>
          <w:tcPr>
            <w:tcW w:w="6980"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99</w:t>
            </w:r>
          </w:p>
        </w:tc>
      </w:tr>
      <w:tr>
        <w:trPr/>
        <w:tc>
          <w:tcPr>
            <w:tcW w:w="1340" w:type="dxa"/>
            <w:tcBorders/>
            <w:vAlign w:val="center"/>
          </w:tcPr>
          <w:p>
            <w:pPr>
              <w:pStyle w:val="TableContents"/>
              <w:bidi w:val="0"/>
              <w:spacing w:before="0" w:after="283"/>
              <w:jc w:val="left"/>
              <w:rPr/>
            </w:pPr>
            <w:r>
              <w:rPr/>
              <w:t>Section 12.14</w:t>
            </w:r>
          </w:p>
        </w:tc>
        <w:tc>
          <w:tcPr>
            <w:tcW w:w="6980" w:type="dxa"/>
            <w:tcBorders/>
            <w:vAlign w:val="center"/>
          </w:tcPr>
          <w:p>
            <w:pPr>
              <w:pStyle w:val="TableContents"/>
              <w:bidi w:val="0"/>
              <w:spacing w:before="0" w:after="283"/>
              <w:jc w:val="left"/>
              <w:rPr/>
            </w:pPr>
            <w:r>
              <w:rPr/>
              <w:t>Counterpart Originals</w:t>
            </w:r>
          </w:p>
        </w:tc>
        <w:tc>
          <w:tcPr>
            <w:tcW w:w="275" w:type="dxa"/>
            <w:tcBorders/>
            <w:vAlign w:val="center"/>
          </w:tcPr>
          <w:p>
            <w:pPr>
              <w:pStyle w:val="TableContents"/>
              <w:bidi w:val="0"/>
              <w:spacing w:before="0" w:after="283"/>
              <w:jc w:val="right"/>
              <w:rPr/>
            </w:pPr>
            <w:r>
              <w:rPr/>
              <w:t>99</w:t>
            </w:r>
          </w:p>
        </w:tc>
      </w:tr>
      <w:tr>
        <w:trPr/>
        <w:tc>
          <w:tcPr>
            <w:tcW w:w="1340" w:type="dxa"/>
            <w:tcBorders/>
            <w:vAlign w:val="center"/>
          </w:tcPr>
          <w:p>
            <w:pPr>
              <w:pStyle w:val="TableContents"/>
              <w:bidi w:val="0"/>
              <w:spacing w:before="0" w:after="283"/>
              <w:jc w:val="left"/>
              <w:rPr/>
            </w:pPr>
            <w:r>
              <w:rPr/>
              <w:t>Section 12.15</w:t>
            </w:r>
          </w:p>
        </w:tc>
        <w:tc>
          <w:tcPr>
            <w:tcW w:w="6980" w:type="dxa"/>
            <w:tcBorders/>
            <w:vAlign w:val="center"/>
          </w:tcPr>
          <w:p>
            <w:pPr>
              <w:pStyle w:val="TableContents"/>
              <w:bidi w:val="0"/>
              <w:spacing w:before="0" w:after="283"/>
              <w:jc w:val="left"/>
              <w:rPr/>
            </w:pPr>
            <w:r>
              <w:rPr/>
              <w:t>Table of Contents, Headings, etc.</w:t>
            </w:r>
          </w:p>
        </w:tc>
        <w:tc>
          <w:tcPr>
            <w:tcW w:w="275" w:type="dxa"/>
            <w:tcBorders/>
            <w:vAlign w:val="center"/>
          </w:tcPr>
          <w:p>
            <w:pPr>
              <w:pStyle w:val="TableContents"/>
              <w:bidi w:val="0"/>
              <w:spacing w:before="0" w:after="283"/>
              <w:jc w:val="right"/>
              <w:rPr/>
            </w:pPr>
            <w:r>
              <w:rPr/>
              <w:t>99</w:t>
            </w:r>
          </w:p>
        </w:tc>
      </w:tr>
      <w:tr>
        <w:trPr/>
        <w:tc>
          <w:tcPr>
            <w:tcW w:w="1340" w:type="dxa"/>
            <w:tcBorders/>
            <w:vAlign w:val="center"/>
          </w:tcPr>
          <w:p>
            <w:pPr>
              <w:pStyle w:val="TableContents"/>
              <w:bidi w:val="0"/>
              <w:spacing w:before="0" w:after="283"/>
              <w:jc w:val="left"/>
              <w:rPr/>
            </w:pPr>
            <w:r>
              <w:rPr/>
              <w:t>Section 12.16</w:t>
            </w:r>
          </w:p>
        </w:tc>
        <w:tc>
          <w:tcPr>
            <w:tcW w:w="6980" w:type="dxa"/>
            <w:tcBorders/>
            <w:vAlign w:val="center"/>
          </w:tcPr>
          <w:p>
            <w:pPr>
              <w:pStyle w:val="TableContents"/>
              <w:bidi w:val="0"/>
              <w:spacing w:before="0" w:after="283"/>
              <w:jc w:val="left"/>
              <w:rPr/>
            </w:pPr>
            <w:r>
              <w:rPr/>
              <w:t>U.S.A. Patriot Act</w:t>
            </w:r>
          </w:p>
        </w:tc>
        <w:tc>
          <w:tcPr>
            <w:tcW w:w="275" w:type="dxa"/>
            <w:tcBorders/>
            <w:vAlign w:val="center"/>
          </w:tcPr>
          <w:p>
            <w:pPr>
              <w:pStyle w:val="TableContents"/>
              <w:bidi w:val="0"/>
              <w:spacing w:before="0" w:after="283"/>
              <w:jc w:val="right"/>
              <w:rPr/>
            </w:pPr>
            <w:r>
              <w:rPr/>
              <w:t>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965"/>
        <w:gridCol w:w="7310"/>
        <w:gridCol w:w="75"/>
      </w:tblGrid>
      <w:tr>
        <w:trPr/>
        <w:tc>
          <w:tcPr>
            <w:tcW w:w="965" w:type="dxa"/>
            <w:tcBorders/>
            <w:vAlign w:val="center"/>
          </w:tcPr>
          <w:p>
            <w:pPr>
              <w:pStyle w:val="TableContents"/>
              <w:bidi w:val="0"/>
              <w:spacing w:before="0" w:after="283"/>
              <w:jc w:val="left"/>
              <w:rPr/>
            </w:pPr>
            <w:r>
              <w:rPr/>
              <w:t>Exhibit A</w:t>
            </w:r>
          </w:p>
        </w:tc>
        <w:tc>
          <w:tcPr>
            <w:tcW w:w="7310" w:type="dxa"/>
            <w:tcBorders/>
            <w:vAlign w:val="center"/>
          </w:tcPr>
          <w:p>
            <w:pPr>
              <w:pStyle w:val="TableContents"/>
              <w:bidi w:val="0"/>
              <w:spacing w:before="0" w:after="283"/>
              <w:jc w:val="left"/>
              <w:rPr/>
            </w:pPr>
            <w:r>
              <w:rPr/>
              <w:t>Form of Note</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Exhibit B</w:t>
            </w:r>
          </w:p>
        </w:tc>
        <w:tc>
          <w:tcPr>
            <w:tcW w:w="7310" w:type="dxa"/>
            <w:tcBorders/>
            <w:vAlign w:val="center"/>
          </w:tcPr>
          <w:p>
            <w:pPr>
              <w:pStyle w:val="TableContents"/>
              <w:bidi w:val="0"/>
              <w:spacing w:before="0" w:after="283"/>
              <w:jc w:val="left"/>
              <w:rPr/>
            </w:pPr>
            <w:r>
              <w:rPr/>
              <w:t>Form of Certificate of Transfer</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Exhibit C</w:t>
            </w:r>
          </w:p>
        </w:tc>
        <w:tc>
          <w:tcPr>
            <w:tcW w:w="7310" w:type="dxa"/>
            <w:tcBorders/>
            <w:vAlign w:val="center"/>
          </w:tcPr>
          <w:p>
            <w:pPr>
              <w:pStyle w:val="TableContents"/>
              <w:bidi w:val="0"/>
              <w:spacing w:before="0" w:after="283"/>
              <w:jc w:val="left"/>
              <w:rPr/>
            </w:pPr>
            <w:r>
              <w:rPr/>
              <w:t>Form of Certificate of Exchange</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Exhibit D</w:t>
            </w:r>
          </w:p>
        </w:tc>
        <w:tc>
          <w:tcPr>
            <w:tcW w:w="7310" w:type="dxa"/>
            <w:tcBorders/>
            <w:vAlign w:val="center"/>
          </w:tcPr>
          <w:p>
            <w:pPr>
              <w:pStyle w:val="TableContents"/>
              <w:bidi w:val="0"/>
              <w:spacing w:before="0" w:after="283"/>
              <w:jc w:val="left"/>
              <w:rPr/>
            </w:pPr>
            <w:r>
              <w:rPr/>
              <w:t>Form of Supplemental Indenture To Be Delivered by Subsequent Guarantors</w:t>
            </w:r>
          </w:p>
        </w:tc>
        <w:tc>
          <w:tcPr>
            <w:tcW w:w="75" w:type="dxa"/>
            <w:tcBorders/>
            <w:vAlign w:val="center"/>
          </w:tcPr>
          <w:p>
            <w:pPr>
              <w:pStyle w:val="TableContents"/>
              <w:bidi w:val="0"/>
              <w:spacing w:before="0" w:after="283"/>
              <w:jc w:val="left"/>
              <w:rPr/>
            </w:pPr>
            <w:r>
              <w:rPr/>
              <w:t> </w:t>
            </w:r>
          </w:p>
        </w:tc>
      </w:tr>
    </w:tbl>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August 18, 2026 among Griffon Corporation,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Guarantors (as defined herein) listed on the signature pages hereto and Computershare Trust Company, N.A., a national banking association, as Trustee (as defined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creation of an issue of (a) $800,000,000 aggregate principal amount of 6.250% Senior Notes due 2034 (the “</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 and, together with any Additional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The Initial Notes and any Additional Notes shall be treated as a single class for all purposes under this Indenture, including waivers, amendments, redemptions and offers to purchase;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each of the Guarantors has duly authorized the execution and delivery of this Indenture.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Issuer, the Guarantors and the Trustee agree as follows for the benefit of each other and for the equal and ratable benefit of the Holders of the Notes.</w:t>
      </w:r>
    </w:p>
    <w:p>
      <w:pPr>
        <w:pStyle w:val="TextBody"/>
        <w:bidi w:val="0"/>
        <w:spacing w:before="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br/>
        <w:t>DEFINITIONS AND INCORPORATION BY REFERENCE</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144A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or to be sold in reliance on Rule 144A.</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Indebtedness</w:t>
      </w:r>
      <w:r>
        <w:rPr>
          <w:rFonts w:ascii="Times New Roman;Times;Serif" w:hAnsi="Times New Roman;Times;Serif"/>
          <w:b w:val="false"/>
          <w:i w:val="false"/>
          <w:caps w:val="false"/>
          <w:smallCaps w:val="false"/>
          <w:sz w:val="20"/>
        </w:rPr>
        <w:t>” means, with respect to any specified Person,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Indebtedness of any other Person existing at the time such other Person is merged with or into or became a Restricted Subsidiary of such specified Person, including Indebtedness assumed or incurred in connection with, or in contemplation of, such other Person merging with or into or becoming a Restricted Subsidiary of such specified Person,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Indebtedness secured by a Lien encumbering any asset acquired by such specified Person.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means any additional Notes issued after the Issue Date having identical terms and conditions to the Initial Notes, except for issue date, issue price and first interest payment date, in an unlimited amount (so long as not otherwise prohibited by the terms of this Indenture, including, without limitation, Section 4.09 hereof).</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No Person (other than the Issuer or any Subsidiary of the Issuer) in whom a Receivables Subsidiary makes an Investment in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connection with a financing of accounts receivable will be deemed to be an Affiliate of the Issuer or any of its Subsidiaries solely by reason of such Investment.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with respect to any Note on any Redemption Date, the greater 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 of the principal amount of such Note;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excess, if any, of (a) the present value at such Redemption Date of (i) the redemption price of such Note at October 1, 2029 (such redemption price being set forth in the table appearing in Section 3.07(b) hereof), plus (ii) all required interest payments due on such Note through October 1, 2029 (excluding accrued but unpaid interest to the Redemption Date), computed using a discount rate equal to the Treasury Rate as of such Redemption Date plus 50 basis points; over (b) the then-outstanding principal amount of such Note.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Procedures</w:t>
      </w:r>
      <w:r>
        <w:rPr>
          <w:rFonts w:ascii="Times New Roman;Times;Serif" w:hAnsi="Times New Roman;Times;Serif"/>
          <w:b w:val="false"/>
          <w:i w:val="false"/>
          <w:caps w:val="false"/>
          <w:smallCaps w:val="false"/>
          <w:sz w:val="20"/>
        </w:rPr>
        <w:t>” means, with respect to any transfer, redemption, tender or exchange of or for beneficial interests in any Global Note, the rules and procedures of the Depositary, Euroclear and/or Clearstream that apply to such transfer or exchange.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means: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sale, conveyance, transfer or other disposition, whether in a single transaction or a series of related transactions, of property or assets of the Issuer or any of the Restricted Subsidiaries (each referred to in this definition as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or sale of Equity Interests of any Restricted Subsidiary, whether in a single transaction or a series of related transactions (other than Preferred Stock of Restricted Subsidiaries issued in compliance with Section 4.09 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other than: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disposition of Cash Equivalents or other securities that have an Investment Grade Rating or obsolete, damaged or worn out equipment or assets no longer used or useful, in each case, in the ordinary course of business or any disposition of inventory, equipment, accounts receivable or goods (or other assets) held for sale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disposition of all or substantially all of the properties or assets of the Issuer in a manner permitted pursuant to the provisions described under Section 5.01 hereof or any disposition that constitutes a Change of Control pursuant to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making of any Permitted Investment that is permitted to be made, and is made, under Section 4.07 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disposition of assets or issuance or sale of Equity Interests of a Restricted Subsidiary in any transaction or series of related transactions with an aggregate fair market value of less than $30.0 million;</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disposition of property or assets or issuance of securities by a Restricted Subsidiary of the Issuer to the Issuer or by the Issuer or a Restricted Subsidiary of the Issuer to another Restricted Subsidiary of the Issuer;</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allowable under Section 1031 of the Internal Revenue Code of 1986, any exchange of like property (excluding any boot thereon);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lease, assignment or sublease of any real or personal property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foreclosures, condemnations or any similar actions on assets;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financing transaction with respect to property built or acquired by the Issuer or any Restricted Subsidiary after the Issue Date, including Sale and Lease-Back Transactions permitted by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licenses or sub-licenses of intellectual property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creation of any Lien permitted under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issuance or sale of Equity Interests in, or Indebtedness or other securities of, an Unrestricted Subsidiary;</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surrender or waiver of contract rights or settlement, release or surrender of a contract, tort or other litigation claim in the ordinary course of business;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disposition of accounts receivable and related assets by a Receivables Subsidiary in a Qualified Receivables Financing.</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day which is not a Legal Holiday.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or membership interests (whether general or limited);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w:t>
      </w:r>
      <w:r>
        <w:rPr>
          <w:rFonts w:ascii="Times New Roman;Times;Serif" w:hAnsi="Times New Roman;Times;Serif"/>
          <w:b w:val="false"/>
          <w:i w:val="false"/>
          <w:caps w:val="false"/>
          <w:smallCaps w:val="false"/>
          <w:sz w:val="20"/>
        </w:rPr>
        <w:t xml:space="preserve">” means, at the time any determination thereof is to be made, the amount of the liability in respect of a capital lease that would at such time be required to be capitalized and reflected as a liability on a balance sheet (excluding the footnotes thereto)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obligations of the Issuer or its Restricted Subsidiaries either existing on the Issue Date or created prior to any recharacterization described below (i) that were not included on the consolidated balance sheet of the Issuer as capital lease obligations and (ii) that are subsequently recharacterized as capital lease obligations due to a change in accounting treatment or otherwise, shall for all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 under this Indenture (including, without limitation, the calculation of Consolidated Net Income and EBITDA) not be treated as capital lease obligations, Capitalized Lease Obligations or Indebtedness.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United States dollars;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euro, or any national currency of any participating member of the EMU;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any Foreign Subsidiary that is a Restricted Subsidiary, such local currencies held by them from time to time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securities issued or directly and fully and unconditionally guaranteed or insured by the U.S. government or any agency or instrumentality thereof the securities of which are unconditionally guaranteed as a full faith and credit obligation of such government with maturities of 12 months or less from the date of acquisition;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marketable direct EEA Government Obligations with maturities of 12 months or less from the date of acquisition;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$500.0 million;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repurchase obligations for underlying securities of the types described in clauses (3), (4) and (5) entered into with any financial institution meeting the qualifications specified in clause (5) above;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commercial paper rated at least P-1 by Moody’s or at least A-1 by S&amp;P and in each case maturing within 24 months after the date of creation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marketable short-term money market and similar securities having a rating of at least P-2 or A-2 from either Moody’s or S&amp;P, respectively, and in each case maturing within 24 months after the date of creation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readily marketable direct obligations issued by any state, commonwealth or territory of the United States or any political subdivision or taxing authority thereof having one of the two highest ratings obtainable from either Moody’s or S&amp;P (or reasonably equivalent ratings of another internationally recognized ratings agency) with maturities of 24 months or less from the date of acquisition;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investment funds investing 95% of their assets in securities of the types described in clauses (1) through (9) above; and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 the case of any Restricted Subsidiaries organized or having its principal place of business outside of the United States, Investments of comparable tenor and credit quality to those described in the foregoing clauses (3) through (10) customarily utilized in countries in which such Restricted Subsidiary operates.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clauses (1) and (2)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are converted into any currency listed in clauses (1) and (2) as promptly as practicable and in any event within ten Business Days following the receipt of such amounts.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sale, lease or transfer, in one or a series of related transactions, of all or substantially all of the assets of the Issuer and its Subsidiaries, taken as a whole, to any Person;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Person or group (within the meaning of Section 13(d)(3) or Section 14(d)(2) of the Exchange Act, or any successor provision), including any group acting for the purpose of acquiring, holding or disposing of securities (within the meaning of Rule 13d-5(b)(1) under the Exchange Act), is or becomes, in a single transaction or in a related series of transactions, the beneficial owner (within the meaning of Rule 13d-3 under the Exchange Act, or any successor provision) directly or indirectly, of 50% or more of the total voting power of the Voting Stock of the Issuer;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first day on which a majority of the members of the board of directors of the Issuer are not Continuing Directors;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adoption by the stockholders of the Issuer of a plan or proposal for the liquidation or dissolution of the Issuer.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w:t>
      </w:r>
      <w:r>
        <w:rPr>
          <w:rFonts w:ascii="Times New Roman;Times;Serif" w:hAnsi="Times New Roman;Times;Serif"/>
          <w:b w:val="false"/>
          <w:i w:val="false"/>
          <w:caps w:val="false"/>
          <w:smallCaps w:val="false"/>
          <w:sz w:val="20"/>
        </w:rPr>
        <w:t>” means Clearstream Banking, Société Anonyme, and any successor thereto.</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Depreciation and Amortization Expense</w:t>
      </w:r>
      <w:r>
        <w:rPr>
          <w:rFonts w:ascii="Times New Roman;Times;Serif" w:hAnsi="Times New Roman;Times;Serif"/>
          <w:b w:val="false"/>
          <w:i w:val="false"/>
          <w:caps w:val="false"/>
          <w:smallCaps w:val="false"/>
          <w:sz w:val="20"/>
        </w:rPr>
        <w:t>” means, with respect to any Person for any period, the total amount of depreciation and amortization expense, including the amortization of goodwill and other intangibles, deferred financing fees of such Person and its Restricted Subsidiaries, for such period on a consolidated basis and otherwise determined in accordance with GAAP.</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with respect to any Person for any period, without duplication, the sum 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consolidated interest expense of such Person and its Restricted Subsidiaries for such period, to the extent such expense was deducted (and not added back) in computing Consolidated Net Income, including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Capitalized Lease Obligations, and (e) net payments, if any, pursuant to interest rate Hedging Obligations with respect to Indebtedness, and excluding (x) amortization of deferred financing fees, debt issuance costs, commissions, fees and expenses and (y) any expensing of bridge, commitment and other financing fees; plus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consolidated capitalized interest of such Person and its Restricted Subsidiaries for such period, whether paid or accrued.</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without duplication,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after-tax effect of extraordinary gains or losses (less all fees and expenses relating thereto)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cumulative effect of a change in accounting principles during such period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after-tax effect of income (loss) attributable to discontinued operations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after-tax effect of gains or losses (less all fees and expenses relating thereto) attributable to asset dispositions other than in the ordinary course of business, as determined in good faith by the Issuer,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Net Income (but not loss) for such period of any Person that is not a Subsidiary, or is an Unrestricted Subsidiary, or that is accounted for by the equity method of accounting,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Net Income of the Issuer shall be increased by the amount of dividends or distributions or other payments that are actually paid in cash (or to the extent converted into cash) to the referent Person, or a Restricted Subsidiary thereof in respect of such period by such Person and shall be decreased by the amount of any actual net losses that have been funded with cash from the Issuer or a Restricted Subsidiary during such period,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[reserved],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effects of adjustments (including the effects of such adjustments pushed down to the Issuer and its Restricted Subsidiaries) in the property and equipment, software and other intangible assets, deferred revenue and debt line items in such Person’s consolidated financial statements pursuant to GAAP resulting from the application of purchase accounting in relation to any consummated acquisition or the amortization or write-off of any amounts thereof, net of taxes,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impairment charge or asset write-off, in each case, pursuant to GAAP and the amortization of intangibles arising pursuant to GAAP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non-cash gains and losses due solely to fluctuations in currency values in accordance with GAAP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any fees, charges, costs and expenses incurred in connection with the Transaction shall be excluded,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(a) the amount of any write-off of deferred financing costs or of indebtedness issuance costs and the amount of charges related to any premium paid in connection with repurchasing or refinancing indebtedness shall be excluded and (b) all nonrecurring expenses and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 relating to such repurchase or refinancing of indebtedness or relating to any incurrence of indebtedness, in each case, whether or not such transaction is consummated,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restructuring charges incurred in connection with the closing and restructuring of certain manufacturing facilities and non-recurring restructuring charges incurred in connection with certain facilities of Clopay Corporation and The Ames Companies, Inc.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any severance or similar one-time compensation charges shall be excluded,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fees, expenses and charges relating to any offering of Equity Interests or Indebtedness of the Issuer or its Restricted Subsidiaries or any acquisition permitted by this Indenture shall be excluded,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non-cash compensation charge or expense, including such charge or expense arising from grants of stock options or restricted stock or other equity incentive programs for the benefit of officers, directors and employees of the Issuer or any Restricted Subsidiary of the Issuer shall be excluded.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Obligations</w:t>
      </w:r>
      <w:r>
        <w:rPr>
          <w:rFonts w:ascii="Times New Roman;Times;Serif" w:hAnsi="Times New Roman;Times;Serif"/>
          <w:b w:val="false"/>
          <w:i w:val="false"/>
          <w:caps w:val="false"/>
          <w:smallCaps w:val="false"/>
          <w:sz w:val="20"/>
        </w:rPr>
        <w:t>” means, with respect to any Person, any obligation of such Person guaranteeing any leases, dividends or other obligations that do not constitute Indebtedness (“</w:t>
      </w:r>
      <w:r>
        <w:rPr>
          <w:rFonts w:ascii="Times New Roman;Times;Serif" w:hAnsi="Times New Roman;Times;Serif"/>
          <w:b w:val="false"/>
          <w:i w:val="false"/>
          <w:caps w:val="false"/>
          <w:smallCaps w:val="false"/>
          <w:sz w:val="20"/>
          <w:u w:val="single"/>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in any manner, whether directly or indirectly, including, without limitation, any obligation of such Person, whether or not contingent,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purchase any such primary obligation or any property constituting direct or indirect security therefor,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advance or supply funds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purchase or payment of any such primary obligation,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maintain working capital or equity capital of the primary obligor or otherwise to maintain the net worth or solvency of the primary obligor,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Directors</w:t>
      </w:r>
      <w:r>
        <w:rPr>
          <w:rFonts w:ascii="Times New Roman;Times;Serif" w:hAnsi="Times New Roman;Times;Serif"/>
          <w:b w:val="false"/>
          <w:i w:val="false"/>
          <w:caps w:val="false"/>
          <w:smallCaps w:val="false"/>
          <w:sz w:val="20"/>
        </w:rPr>
        <w:t>” means, as of any date of determination, any member of the board of directors of the Issuer who (1) was a member of such board of directors on the date of this Indenture; or (2) was nominated for election or elected to such board of directors with the approval of a majority of the Continuing Directors who were members of such board of directors at the time of such nomination or election.</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principal office of the Trustee at which at any time its corporate trust business shall be administered, which office at the date hereof is located at 1505 Energy Park Drive, St. Paul, MN 55108 Attention: CCT Administrator for Griffon Corporation or such other address as the Trustee may designate from time to time by notice to the Holders and the Issuer, or the principal corporate trust office of any successor Trustee (or such address as such successor Trustee may designate from time to time by notice to the Holders and the Issuer).</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Facilities</w:t>
      </w:r>
      <w:r>
        <w:rPr>
          <w:rFonts w:ascii="Times New Roman;Times;Serif" w:hAnsi="Times New Roman;Times;Serif"/>
          <w:b w:val="false"/>
          <w:i w:val="false"/>
          <w:caps w:val="false"/>
          <w:smallCaps w:val="false"/>
          <w:sz w:val="20"/>
        </w:rPr>
        <w:t>” means, with respect to the Issuer or any of its Restricted Subsidiaries, one or more debt facilities, including the Senior Credit Facility,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increase in borrowings to the extent in excess of the amount permitted under Section 4.09(b)(1) hereof is otherwise permitted to be incurred under Section 4.09 hereof) or adds Restricted Subsidiaries as additional borrowers or guarantors thereunder and whether by the same or any other agent, lender or group of lenders.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the Trustee, as custodian with respect to the Notes in global form, or any successor entity thereto.</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2.06(c) hereof,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except that such Note shall not bear the Global Note Legend and shall not have the “Schedule of Exchanges of Interests in the Global Note” attached thereto.</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means, with respect to a Person, any contract, instrument or other right to receive payment or delivery of cash or other assets to which such Person or any Affiliate of such Person that is acting in concert with such Person in connection with such Person’s investment in the Notes (other than a Regulated Bank, an Initial Purchaser or its Affiliate or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Times;Serif" w:hAnsi="Times New Roman;Times;Serif"/>
          <w:b w:val="false"/>
          <w:i w:val="false"/>
          <w:caps w:val="false"/>
          <w:smallCaps w:val="false"/>
          <w:sz w:val="20"/>
          <w:u w:val="single"/>
        </w:rPr>
        <w:t>Performance References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provisions of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the Issuer or a Restricted Subsidiary in connection with an Asset Sale that is so designated as Designated Non-cash Consideration pursuant to an Officer’s Certificate, setting forth the basis of such valuation, executed by the principal financial officer of the Issuer, less the amount of cash and Cash Equivalents received in connection with a subsequent sale of or collection of such Designated Non-cash Consideration.</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xml:space="preserve">” means, with respect to any Person, any Capital Stock of such Person which, by its terms (or by the terms of any security into which it is convertible or for which it is putable or exchangeable, except to the extent such capital stock is exchanged into Indebtedness at the option of the Issuer thereof and only subject to the terms of any debt instrument to which such Person is a party), or upon the happening of any event, matures or is mandatorily redeemable (other than solely as a result of a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Capital Stock is issued to any plan for the benefit of employees of the Issuer or its Subsidiaries or by any such plan to such employees, such Capital Stock shall not constitute Disqualified Stock solely because it may be required to be repurchased by the Issuer or its Subsidiaries in order to satisfy applicable statutory or regulatory obligations.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Restricted Subsidiary</w:t>
      </w:r>
      <w:r>
        <w:rPr>
          <w:rFonts w:ascii="Times New Roman;Times;Serif" w:hAnsi="Times New Roman;Times;Serif"/>
          <w:b w:val="false"/>
          <w:i w:val="false"/>
          <w:caps w:val="false"/>
          <w:smallCaps w:val="false"/>
          <w:sz w:val="20"/>
        </w:rPr>
        <w:t>” means a Restricted Subsidiary incorporated or otherwise organized or existing under the laws of the United States, any state thereof or the District of Columbia.</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means, with respect to any Person for any period, the Consolidated Net Income of such Person for such period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increased (without duplication) by:</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provision for taxes based on income or profits or capital gains, including, without limitation, state, franchise and similar taxes and foreign withholding taxes of such Person paid or accrued during such period deducted (and not added back) in computing Consolidated Net Income;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Fixed Charges of such Person for such period to the extent the same was deducted (and not added back) in calculating such Consolidated Net Income;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Consolidated Depreciation and Amortization Expense of such Person for such period to the extent the same were deducted (and not added back) in computing Consolidated Net Income;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expenses or charges (other than depreciation or amortization expense) related to any Equity Offering, Permitted Investment, Qualified Receivables Financing, acquisition, disposition, recapitalization or the incurrence of Indebtedness permitted to be incurred by this Indenture (including a refinancing thereof) (whether or not successful), including (i) such fees, expenses or charges related to the offering of the Notes and the Credit Facilities and (ii) any amendment or other modification of the Notes, and, in each case, deducted (and not added back) in computing Consolidated Net Income;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amount of any restructuring charge or reserve deducted (and not added back) in such period in computing Consolidated Net Income, including any one-time costs incurred in connection with acquisitions after the Issue Date and costs related to the closure and/or consolidation of facilities;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non-cash charges, including any write offs or write downs, reducing Consolidated Net Income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 </w:t>
      </w:r>
      <w:r>
        <w:rPr>
          <w:rFonts w:ascii="Times New Roman;Times;Serif" w:hAnsi="Times New Roman;Times;Serif"/>
          <w:b w:val="false"/>
          <w:i/>
          <w:caps w:val="false"/>
          <w:smallCaps w:val="false"/>
          <w:sz w:val="20"/>
        </w:rPr>
        <w:t>plus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costs or expense incurred by the Issuer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Issuer or net cash proceeds of an issuance of Equity Interest of the Issuer (other than Disqualified Stock) solely to the extent that such net cash proceeds have not been relied on for purposes of any incurrence of Indebtedness pursuant to clause (12)(a) of Section 4.09(b);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non-cash compensation expense recorded from grants of stock appreciation or similar rights, stock options, restricted stock or other rights; </w:t>
      </w:r>
      <w:r>
        <w:rPr>
          <w:rFonts w:ascii="Times New Roman;Times;Serif" w:hAnsi="Times New Roman;Times;Serif"/>
          <w:b w:val="false"/>
          <w:i/>
          <w:caps w:val="false"/>
          <w:smallCaps w:val="false"/>
          <w:sz w:val="20"/>
        </w:rPr>
        <w:t>plus</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“run rate” cost savings, operating expense reductions, operational improvements and synergies projected by the Issuer in good faith to be realized as a result of any significant transaction after the Issue Date (calculated on a pro forma basis as though such cost savings, operating expense reductions, operational improvements and synergies had been realized on the first day of such period and as if such cost savings, operating expense reductions, operational improvements and synergies were realized during the entirety of such period), net of the amount of actual benefits realized during such period from such actions; provided that (x) such cost savings, operating expense reductions, operational improvements and synergies are reasonably anticipated to be realized and factually supportable and quantifiable in the good faith judgment of the Issuer, (y) such actions are to be taken within 18 months after the consummation of the significant transaction which is expected to result in such cost savings, expense reductions, operational improvements or synergies, and (z) no cost savings, operating expense reductions, operational improvements or synergies shall be added pursuant to this clause (i) to the extent duplicative of any expenses or charges otherwise added to EBITDA, whether through a pro forma adjustment or otherwise, for such period; provided, further, that the add-backs pursuant to this clause (i) for any four fiscal quarter period shall not exceed 20% of EBITDA for such four fiscal quarter period (determined after giving effect to any add-backs pursuant to this clause (i));</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decreased by (without duplication) non-cash gains increasing Consolidated Net Income of such Person for such period, excluding any non-cash gains to the extent they represent the reversal of an accrual or reserve for a potential cash item that reduced EBITDA in any prior period,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increased or decreased by (without duplication):</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net gain or loss resulting in such period from Hedging Obligations and the application of Statement of Financial Accounting Standards No. 133;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as applicable,</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net gain or loss resulting in such period from currency translation gains or losses related to currency remeasurements of Indebtedness (including any net loss or gain resulting from Hedging Obligations for currency exchange risk);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as applicable,</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net after-tax income (loss) from the early extinguishment of Indebtedness or Hedging Obligations or other derivative,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 determined on a consolidated basis for such Person and its Restricted Subsidiaries in accordance with GAAP.</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Government Obligation</w:t>
      </w:r>
      <w:r>
        <w:rPr>
          <w:rFonts w:ascii="Times New Roman;Times;Serif" w:hAnsi="Times New Roman;Times;Serif"/>
          <w:b w:val="false"/>
          <w:i w:val="false"/>
          <w:caps w:val="false"/>
          <w:smallCaps w:val="false"/>
          <w:sz w:val="20"/>
        </w:rPr>
        <w:t xml:space="preserve">” means any direct non-callable obligation of any European Union member for the payment of which obligation the full faith and credit of the respective nation is pledged;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nation has a credit rating at least equal to that of the highest rated member nation of the European Economic Area.</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EMU</w:t>
      </w:r>
      <w:r>
        <w:rPr>
          <w:rFonts w:ascii="Times New Roman;Times;Serif" w:hAnsi="Times New Roman;Times;Serif"/>
          <w:b w:val="false"/>
          <w:i w:val="false"/>
          <w:caps w:val="false"/>
          <w:smallCaps w:val="false"/>
          <w:sz w:val="20"/>
        </w:rPr>
        <w:t>” means the economic and monetary union as contemplated in the Treaty on European Union.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Offering</w:t>
      </w:r>
      <w:r>
        <w:rPr>
          <w:rFonts w:ascii="Times New Roman;Times;Serif" w:hAnsi="Times New Roman;Times;Serif"/>
          <w:b w:val="false"/>
          <w:i w:val="false"/>
          <w:caps w:val="false"/>
          <w:smallCaps w:val="false"/>
          <w:sz w:val="20"/>
        </w:rPr>
        <w:t>” means any public or private sale of common stock or Preferred Stock of the Issuer or any of its direct or indirect parent companies (excluding Disqualified Stock), other than: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public offerings with respect to the Issuer’s or any direct or indirect parent company’s common stock registered on Form S-8;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issuances to any Subsidiary of the Issuer.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means the single currency of participating member states of the EMU.</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w:t>
      </w:r>
      <w:r>
        <w:rPr>
          <w:rFonts w:ascii="Times New Roman;Times;Serif" w:hAnsi="Times New Roman;Times;Serif"/>
          <w:b w:val="false"/>
          <w:i w:val="false"/>
          <w:caps w:val="false"/>
          <w:smallCaps w:val="false"/>
          <w:sz w:val="20"/>
        </w:rPr>
        <w:t>” means Euroclear S.A./N.V., as operator of the Euroclear system, and any successor thereto.</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of the SEC promulgated thereunder.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with respect to any asset or liability, the fair market value of such asset or liability as determined by the Issuer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fair market value is equal to or exceeds $25.0 million, such determination shall be made in good faith by the board of directors of the Issuer.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means, with respect to any Person for any period, the ratio of EBITDA of such Person for such period to the Fixed Charges of such Person for such period. In the event that the Issuer or any Restricted Subsidiary incurs, assumes, guarantees, redeems, retires or extinguishes any Indebtedness (other than Indebtedness incurred under any revolving credit facility or other incurrence of Indebtedness for working capital purposes pursuant to working capital facilities unless, in each case,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Times;Serif" w:hAnsi="Times New Roman;Times;Serif"/>
          <w:b w:val="false"/>
          <w:i w:val="false"/>
          <w:caps w:val="false"/>
          <w:smallCaps w:val="false"/>
          <w:sz w:val="20"/>
          <w:u w:val="single"/>
        </w:rPr>
        <w:t>Fixed Charge Coverage Ratio Calculation Date</w:t>
      </w:r>
      <w:r>
        <w:rPr>
          <w:rFonts w:ascii="Times New Roman;Times;Serif" w:hAnsi="Times New Roman;Times;Serif"/>
          <w:b w:val="false"/>
          <w:i w:val="false"/>
          <w:caps w:val="false"/>
          <w:smallCaps w:val="false"/>
          <w:sz w:val="20"/>
        </w:rPr>
        <w:t>”), then the Fixed Charge Coverage Ratio shall be calculated giving pro forma effect to such incurrence, assumption, guarantee, redemption, retirement or extinguishment of Indebtedness, or such issuance or redemption of Disqualified Stock or Preferred Stock, as if the same had occurred at the beginning of the applicable period.</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making the computation referred to above, Investments, acquisitions, dispositions, mergers, consolidations and discontinued operations (as determined in accordance with GAAP)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have been made by the Issuer or any of its Restricted Subsidiaries during the reference period or subsequent to such reference period and on or prior to or simultaneously with the Fixed Charge Coverage Ratio Calculation Date shall be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assuming that all such Investments, acquisitions, dispositions, mergers, consolidations and discontinued operations (and the change in any associated Fixed Charges and the change in EBITDA resulting therefrom) had occurred on the first day of the reference period. If since the beginning of such period any Person that subsequently became a Restricted Subsidiary or was merged with or into the Issuer or any of its Restricted Subsidiaries since the beginning of such period shall have made any Investment, acquisition, disposition, merger, consolidation or discontinued operation that would have required adjustment pursuant to this definition, then the Fixed Charge Coverage Ratio shall be calculated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thereto for such period as if such Investment, acquisition, disposition, merger, consolidation or discontinued operation had occurred at the beginning of the applicable period.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definition, whenever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is to be given to a transaction, the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calculations shall be made in good faith by a responsible financial or accounting officer of the Issuer and shall comply with Regulation S-X, except that the pro forma calculations may also include reasonably identifiable and factually supportable operating expense reductions for which the steps necessary for realization have been taken or are reasonably expected to be completed within 12 months of the transaction and are set forth in an Officer’s Certificate. For the avoidance of doubt, the actual adjustments described in “Pro Forma Compliance Adjusted EBITDA” in the Offering Memorandum shall be deemed to comply with the standards set forth in the immediately preceding sentence. If any Indebtedness bears a floating rate of interest and is being given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Issuer to be the rate of interest implicit in such Capitalized Lease Obligation in accordance with GAAP. For purposes of making the computation referred to above, interest on any Indebtedness under a revolving credit facility computed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means, with respect to any Person for any period, the sum, without duplication, 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Consolidated Interest Expense of such Person for such period;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cash dividends or other distributions paid (excluding items eliminated in consolidation) on any series of Preferred Stock of such Person during such period;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cash dividends or other distributions paid or accrued (excluding items eliminated in consolidation) on any series of Disqualified Stock of such Person during such period.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with respect to any Person, any Restricted Subsidiary other than a Domestic Restricted Subsidiary.</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which are in effect on the Issue Date.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means the legend set forth in Section 2.06(f)(ii) hereof, which is required to be placed on all Global Notes issued under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means, individually and collectively, each of the Restricted Global Notes and the Unrestricted Global Notes,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issued in accordance with Section 2.01, 2.06(b) or 2.06(d) 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Securities</w:t>
      </w:r>
      <w:r>
        <w:rPr>
          <w:rFonts w:ascii="Times New Roman;Times;Serif" w:hAnsi="Times New Roman;Times;Serif"/>
          <w:b w:val="false"/>
          <w:i w:val="false"/>
          <w:caps w:val="false"/>
          <w:smallCaps w:val="false"/>
          <w:sz w:val="20"/>
        </w:rPr>
        <w:t>” means securities that are: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direct obligations of the United States of America for the timely payment of which its full faith and credit is pledged;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obligations of a Person controlled or supervised by and acting as an agency or instrumentality of the United States of America the timely payment of which is unconditionally guaranteed as a full faith and credit obligation by the United States of America.</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the guarantee by any Guarantor of the Issuer’s Obligations under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each Restricted Subsidiary that Guarantees the Notes in accordance with the terms of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means, with respect to any Person, the obligations of such Person under: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interest rate protection agreements including, without limitation, interest rate swap agreements, interest rate cap agreements and interest rate collar agreements;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foreign exchange contracts, currency swap agreements or other agreements or arrangements designed to protect such Person against fluctuations in interest rates or foreign exchange rates;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commodity futures contract, commodity option or other similar arrangement or agreement designed to protect such Person against fluctuations in the prices of commodities;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indemnity agreements and arrangements entered into in connection with the agreements and arrangements described in clauses (1), (2) and (3).</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the Person in whose name a Note is registered on the Registrar’s books.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without duplication: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indebtedness (including principal and premium) of such Person, whether or not contingent:</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borrowed money;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evidenced by bonds, notes, debentures or similar instruments or letters of credit or bankers’ acceptances (or, without duplication, reimbursement agreements in respect thereof);</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representing the balance deferred and unpaid of the purchase price of any property (including Capitalized Lease Obligations), except (i) any such balance that constitutes an accrued expense or trade payable or similar obligation to a trade creditor accrued in the ordinary course of business and (ii) any earn-out obligations until such obligation becomes a liability on the balance sheet of such Person in accordance with GAAP;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representing any Hedging Obligations;</w:t>
      </w:r>
    </w:p>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of the foregoing Indebtedness (other than letters of credit and Hedging Obligations) would appear as a liability upon a balance sheet (excluding the footnotes thereto) of such Person prepared in accordance with GAAP;</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extent not otherwise included, any obligation by such Person to be liable for, or to pay, as obligor, guarantor or otherwise, on the obligations of the type referred to in clause (1) of a third Person (whether or not such items would appear upon the balance sheet of the such obligor or guarantor), other than by endorsement of negotiable instruments for collection in the ordinary course of business;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to the extent not otherwise included, the obligations of the type referred to in clause (1) of a third Person secured by a Lien on any asset owned by such first Person, whether or not such Indebtedness is assumed by such first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has not been so assumed the amount of such Indebtedness shall be the lesser of (A) the fair market value of such asset at the date of determination and (B) the amount of the Indebtedness so secured;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Indebtedness shall be deemed not to include Contingent Obligations incurred in the ordinary course of business and obligations under or in respect of Qualified Receivables Financings.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this Indenture, as amended or supplemented from time to time in accordance with Article IX 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Financial Advisor</w:t>
      </w:r>
      <w:r>
        <w:rPr>
          <w:rFonts w:ascii="Times New Roman;Times;Serif" w:hAnsi="Times New Roman;Times;Serif"/>
          <w:b w:val="false"/>
          <w:i w:val="false"/>
          <w:caps w:val="false"/>
          <w:smallCaps w:val="false"/>
          <w:sz w:val="20"/>
        </w:rPr>
        <w:t>” means an accounting, appraisal, investment banking firm or consultant of nationally recognized standing that is, in the good faith judgment of the Issuer, qualified to perform the task for which it has been engaged.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Indirect Participant</w:t>
      </w:r>
      <w:r>
        <w:rPr>
          <w:rFonts w:ascii="Times New Roman;Times;Serif" w:hAnsi="Times New Roman;Times;Serif"/>
          <w:b w:val="false"/>
          <w:i w:val="false"/>
          <w:caps w:val="false"/>
          <w:smallCaps w:val="false"/>
          <w:sz w:val="20"/>
        </w:rPr>
        <w:t>” means a Person who holds a beneficial interest in a Global Note through a Participant.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 has the meaning set forth in the preamble to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means the initial purchasers listed on the cover of the Offering Memorandum.</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means, with respect to the Notes, interest, if any, on the Notes (regardless of whether so stated).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April 1 and October 1 of each year to stated maturity.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Rating</w:t>
      </w:r>
      <w:r>
        <w:rPr>
          <w:rFonts w:ascii="Times New Roman;Times;Serif" w:hAnsi="Times New Roman;Times;Serif"/>
          <w:b w:val="false"/>
          <w:i w:val="false"/>
          <w:caps w:val="false"/>
          <w:smallCaps w:val="false"/>
          <w:sz w:val="20"/>
        </w:rPr>
        <w:t>” means a rating equal to or higher than Baa3 (or equivalent) by Moody’s and BBB- (or equivalent) by S&amp;P, or an equivalent rating by any Successor Rating Agency.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means,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For purposes of the definition of “Unrestricted Subsidiary” and Section 4.07 hereof, any property transferred to or from an Unrestricted Subsidiary shall be valued at its fair market value at the time of such transfer.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August 18, 2026.</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has the meaning set forth in the preamble to this Indenture, until a successor replaces it and, thereafter, means the successor, in accordance with Section 5.01. </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Order</w:t>
      </w:r>
      <w:r>
        <w:rPr>
          <w:rFonts w:ascii="Times New Roman;Times;Serif" w:hAnsi="Times New Roman;Times;Serif"/>
          <w:b w:val="false"/>
          <w:i w:val="false"/>
          <w:caps w:val="false"/>
          <w:smallCaps w:val="false"/>
          <w:sz w:val="20"/>
        </w:rPr>
        <w:t>” means a written request or order signed on behalf of the Issuer by an Officer of the Issuer, and delivered to the Trustee.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Holiday</w:t>
      </w:r>
      <w:r>
        <w:rPr>
          <w:rFonts w:ascii="Times New Roman;Times;Serif" w:hAnsi="Times New Roman;Times;Serif"/>
          <w:b w:val="false"/>
          <w:i w:val="false"/>
          <w:caps w:val="false"/>
          <w:smallCaps w:val="false"/>
          <w:sz w:val="20"/>
        </w:rPr>
        <w:t>” means a Saturday, a Sunday or a day on which commercial banking institutions are not required to be open in the State of New York.</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 operating lease be deemed to constitute a Lien.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(a) any Investment or acquisition (whether by merger, amalgamation, consolidation or other business combination or the acquisition of Capital Stock or otherwise), whose consummation is not conditioned on the availability of, or on obtaining, third-party financing, (b) any redemption, repurchase, defeasance, satisfaction and discharge or repayment of Indebtedness, Disqualified Stock or Preferred Stock requiring irrevocable notice in advance of such redemption, repurchase, defeasance, satisfaction and discharge or repayment and (c) any repurchase of Capital Stock, dividend or other distribution requiring irrevocable notice in advance thereof.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Long Derivative Instrument” </w:t>
      </w:r>
      <w:r>
        <w:rPr>
          <w:rFonts w:ascii="Times New Roman;Times;Serif" w:hAnsi="Times New Roman;Times;Serif"/>
          <w:b w:val="false"/>
          <w:i w:val="false"/>
          <w:caps w:val="false"/>
          <w:smallCaps w:val="false"/>
          <w:sz w:val="20"/>
        </w:rPr>
        <w:t>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to its rating agency business.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Book Value</w:t>
      </w:r>
      <w:r>
        <w:rPr>
          <w:rFonts w:ascii="Times New Roman;Times;Serif" w:hAnsi="Times New Roman;Times;Serif"/>
          <w:b w:val="false"/>
          <w:i w:val="false"/>
          <w:caps w:val="false"/>
          <w:smallCaps w:val="false"/>
          <w:sz w:val="20"/>
        </w:rPr>
        <w:t>” means, with respect to any Domestic Restricted Subsidiary, the net book value of the total assets of such Restricted Subsidiary determined in accordance with GAAP but excluding book value attributable to (i) an Investment in another Domestic Restricted Subsidiary (A) that is a Guarantor or (B) to the extent the assets of such other Domestic Restricted Subsidiary are otherwise included in the determination of aggregate Net Book Value pursuant to Section 4.15 hereof, (ii) an investment in a Foreign Subsidiary, (iii) deferred taxes, (iv) deferred financing costs, (v) intercompany indebtedness and (vi) assets that are no longer used or useful in the business of such Domestic Restricted Subsidiary (as determined by the Issuer in good faith).</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w:t>
      </w:r>
      <w:r>
        <w:rPr>
          <w:rFonts w:ascii="Times New Roman;Times;Serif" w:hAnsi="Times New Roman;Times;Serif"/>
          <w:b w:val="false"/>
          <w:i w:val="false"/>
          <w:caps w:val="false"/>
          <w:smallCaps w:val="false"/>
          <w:sz w:val="20"/>
        </w:rPr>
        <w:t>” means, with respect to a Holder or beneficial owner of Notes, as of a date of determination, either (i) the value of its and its Affiliates’ Short Derivative Instruments as a whole exceeds the sum of (x) the value of its and its Affiliates’ Notes as a whole plus (y) the value of its and its Affiliates’ Long Derivative Instruments as a whole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Issuer or any Guarantor immediately prior to such date of determination.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means, with respect to any Person, the net income (loss) of such Person, determined on a consolidated basis in accordance with GAAP and before any reduction in respect of Preferred Stock dividends.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means the aggregate cash proceeds received by the Issuer or any of its Restricted Subsidiaries in respect of any Asset Sale, net of (1) the direct costs relating to such Asset Sale, including legal, accounting and investment banking fees, and brokerage and sales commissions, any relocation expenses incurred as a result thereof, (2) taxes paid or payable as a result thereof (after taking into account any available tax credits or deductions and any tax sharing arrangements), (3) amounts required to be applied to the repayment of principal, premium, if any, and interest on Secured Indebtedness required (other than required by clause (1) of Section 4.10(b) hereof) to be paid as a result of such transaction, (4) in the case of any Asset Sale by a Restricted Subsidiary that is not a Guarantor, payments to holders of Equity Interests in such Restricted Subsidiary (other than Equity Interests held by the Issuer or any of its Restricted Subsidiaries) to the extent that such payment is required to permit the distribution of proceeds in respect of the disposed Equity Interests in such Restricted Subsidiary held by the Issuer or any of its Restricted Subsidiaries and (5) any deduction of appropriate amounts to be provided by the Issuer or any of the Restricted Subsidiaries as a reserve in accordance with GAAP against any liabilities associated with the asset disposed of in such transaction and retained by the Issuer or any of the Restricted Subsidiaries after such sale or other disposition thereof, including pension and other post-employment benefit liabilities and liabilities related to environmental matters or against any indemnification obligations (fixed or contingent) associated with such transaction.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Person</w:t>
      </w:r>
      <w:r>
        <w:rPr>
          <w:rFonts w:ascii="Times New Roman;Times;Serif" w:hAnsi="Times New Roman;Times;Serif"/>
          <w:b w:val="false"/>
          <w:i w:val="false"/>
          <w:caps w:val="false"/>
          <w:smallCaps w:val="false"/>
          <w:sz w:val="20"/>
        </w:rPr>
        <w:t>” means a Person who is not a U.S. Person.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has the meaning set forth in the preamble to this Indenture.</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with respect to the Notes shall not include fees or indemnification obligations in favor of the Trustee and other third parties other than the Holders of the Notes.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means the offering memorandum, dated August 10, 2026, relating to the sale of the Notes.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the Chairman of the Board, the Chief Executive Officer, the President, any Executive Vice President, Senior Vice President or Vice President, the Treasurer, any Assistant Treasurer, the Controller or the Secretary of the Issuer.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on behalf of the Issuer by an Officer of the Issuer that meets the requirements set forth in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which is reasonably acceptable to the Trustee. The counsel may be an employee of or counsel to the Issuer.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Indebtedness</w:t>
      </w:r>
      <w:r>
        <w:rPr>
          <w:rFonts w:ascii="Times New Roman;Times;Serif" w:hAnsi="Times New Roman;Times;Serif"/>
          <w:b w:val="false"/>
          <w:i w:val="false"/>
          <w:caps w:val="false"/>
          <w:smallCaps w:val="false"/>
          <w:sz w:val="20"/>
        </w:rPr>
        <w:t>” means, with respect to the Issuer or any Guarantor, Indebtedness of the Issuer or such Guarantor unless, with respect to any item of Indebtedness, the instrument creating or evidencing the same or pursuant to which the same is outstanding or any other agreement governing the terms of such Indebtedness expressly provides that such Indebtedness shall be subordinated in right of payment to any other item of Indebtedness of the Issuer or such Guarantor. Notwithstanding the foregoing, “Pari Passu Indebtedness” shall not include: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the Issuer owed to any Restricted Subsidiary of the Issuer or Indebtedness of any such Restricted Subsidiary owed to the Issuer or any other Restricted Subsidiary of such Restricted Subsidiary;</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incurred in violation of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Asset Swap</w:t>
      </w:r>
      <w:r>
        <w:rPr>
          <w:rFonts w:ascii="Times New Roman;Times;Serif" w:hAnsi="Times New Roman;Times;Serif"/>
          <w:b w:val="false"/>
          <w:i w:val="false"/>
          <w:caps w:val="false"/>
          <w:smallCaps w:val="false"/>
          <w:sz w:val="20"/>
        </w:rPr>
        <w:t xml:space="preserve">” means the concurrent purchase and sale or exchange of Replacement Assets or a combination of Replacement Assets and cash or Cash Equivalents between the Issuer or any of its Restricted Subsidiaries and another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cash or Cash Equivalents received must be applied in accordance with Section 4.10 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Investment by the Issuer or any of its Restricted Subsidiaries in a Person if as a result of such Investment:</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Person becomes a Restricted Subsidiary;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Person, in one transaction or a series of related transactions, is merged or consolidated with or into, or transfers or conveys substantially all of its assets to, or is liquidated into, the Issuer or a Restricted Subsidiary,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any Investment held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such Investment was not acquired by such Person in contemplation of such acquisition, merger, consolidation or transfer;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Investment in securities or other assets not constituting cash or Cash Equivalents and received in connection with an Asset Sale made pursuant to the provisions of Section 4.10 hereof or any other disposition of assets not constituting an Asset Sale;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Investment existing on the Issue Date and any extension, modification or renewal of any Investments existing on the Issue Date, but only to the extent not involving additional advances, contributions or other Investments of cash or other assets or other decreases thereof (other than as a result of the accrual or accretion of interest or original issue discount or the issuance of pay-in-kind securities, in each case, pursuant to the terms of such Investment as in effect on the Issue Date);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Hedging Obligations permitted under clause (10) of Section 4.09(b) 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guarantees of Indebtedness permitted under Section 4.09 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transaction to the extent it constitutes an Investment that is permitted and made in accordance with the provisions of Section 4.11(b) hereof (except transactions described in clauses (2) and (4) of Section 4.11(b) 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additional Investments having an aggregate fair market value, taken together with all other Investments made pursuant to this clause (7) that are at that time outstanding (without giving effect to the sale of an Unrestricted Subsidiary to the extent the proceeds of such sale do not consist of cash or marketable securities), not to exceed the greater of (i) $100.0 million (with the fair market value of each Investment being measured at the time made and without giving effect to subsequent changes in value) and (ii) 5.0% of Total Assets;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loans and advances to, or guarantees of Indebtedness of, officers, directors and employees in an amount not to exceed $5.0 million at any time outstanding;</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loans and advances to officers, directors and employees for business-related travel expenses, moving expenses and other similar expenses, in each case incurred in the ordinary course of business consistent with past practice;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advances to customers or suppliers in the ordinary course of business that are, in conformity with GAAP, recorded as accounts receivable, prepaid expenses or deposits on the balance sheet of the Issuer or the Restricted Subsidiaries and endorsements for collection or deposit arising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lease, utility and other similar deposits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Investments consisting of the licensing or contribution of intellectual property pursuant to joint marketing arrangements with other Persons, in each case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Investments consisting of purchases and acquisitions of inventory, supplies, materials and equipment or purchases of contract rights or licenses or leases of intellectual property, in each case in the ordinary course of business;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Investments in Unrestricted Subsidiaries having an aggregate fair market value, taken together with all other Investments made pursuant to this clause (14) on or after the Issue Date, that are at that time outstanding, not to exceed $50.0 million (with the fair market value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Investment being measured at the time made and without giving effect to subsequent changes in value);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other Investments if at the time of and after giving pro forma effect to each such Investment (including, without limitation, the incurrence of any Indebtedness to finance such Investment) the Total Leverage Ratio shall not exceed 3.50 to 1.00; provided, however, that at the time of, and after giving effect to, any Investment permitted under this clause (15), no Default shall have occurred and be continuing or would occur as a consequence thereof.</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imposed by law, such as carriers’, warehousemen’s and mechanics’ Liens,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and for which adequate reserves with respect thereto are maintained on the books of such Person in accordance with GAAP;</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for taxes, assessments or other governmental charges not yet overdue for a period of more than 30 days or payable or subject to penalties for nonpayment or which are being contested in good faith by appropriate proceedings diligently conducted, and for which adequate reserves with respect thereto are maintained on the books of such Person in accordance with GAAP;</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to secure public or statutory obligations, surety, stay, appeal, indemnity, bid, performance and similar bonds or with respect to other regulatory requirements or letters of credit issued pursuant to the request of and for the account of such Person in the ordinary course of its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survey exceptions,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securing Indebtedness permitted to be incurred pursuant to clause (4) or (18) of Section 4.09(b)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incurred pursuant to clause (18) extend only to the assets of Foreign Subsidiaries;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existing on the Issue Date (other than Liens in favor of secured parties under the Senior Credit Facility);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Liens on property or shares of stock of a Person at the time such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such Liens are not created or incurred in connection with, or in contemplation of, such other Person becoming such a Subsidiary;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Liens may not extend to any other property owned by the Issuer or any of its Restricted Subsidiaries;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Liens on property at the time the Issuer or a Restricted Subsidiary acquired the property, including any acquisition by means of a merger or consolidation with or into the Issuer or any of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Liens are not created or incurred in connection with, or in contemplation of, such acquisition;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Liens may not extend to any other property owned by the Issuer or any of its Restricted Subsidiaries;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securing Indebtedness or other obligations of a Restricted Subsidiary owing to the Issuer or another Restricted Subsidiary permitted to be incurred in accordance with Section 4.09 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securing Hedging Obligations;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leases, subleases, licenses or sublicenses granted to others in the ordinary course of business which do not materially interfere with the ordinary conduct of the business of the Issuer or any of its Restricted Subsidiaries and do not secure any Indebtedness;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arising from Uniform Commercial Code financing statement filings regarding operating leases or consignments entered into by the Issuer and its Restricted Subsidiaries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Liens in favor of the Issuer or any Guarantor;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on equipment of the Issuer or any of its Restricted Subsidiaries granted in the ordinary course of business to the Issuer’s clients;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Liens to secure any refinancing, refunding, extension, renewal or replacement (or successive refinancing, refunding, extensions, renewals or replacements) as a whole, or in part, of any Indebtedness secured by any Lien referred to in the foregoing clauses (6), (7), (8) and (9) and any Lien permitted by Section 4.12(a)(2)(C);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such new Lien shall be limited to all or part of the same property that secured the original Lien (plus improvements on such property), and (b) the Indebtedness secured by such Lien at such time is not increased to any amount greater than the sum of (i) the outstanding principal amount or in the case of Indebtedness described under clauses (6), (7), (8) and (9) only, if greater, committed amount of the Indebtedness described under clauses (6), (7), (8) and (9) at the time the original Lien became a Permitted Lien under this Indenture, and (ii) an amount necessary to pay any fees and expenses, including premiums, related to such refinancing, refunding, extension, renewal or replacement;</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deposits made in the ordinary course of business to secure liability to insurance carriers;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other Liens securing obligations incurred which obligations do not exceed at any one time outstanding the greater of (x) $200.0 million and (y) 40.0% of EBITDA of the Issuer and its Restricted Subsidiaries for the most recently ended four fiscal quarters ending immediately prior to such date for which internal financial statements are available;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Liens securing judgments for the payment of money not constituting an Event of Default under Section 6.01(5) hereof so long as such Liens are adequately bonded and any appropriate legal proceedings that may have been duly initiated for the review of such judgment have not been finally terminated or the period within which such proceedings may be initiated has not expired;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Liens in favor of customs and revenue authorities arising as a matter of law to secure payment of customs duties in connection with the importation and exportation of goods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Liens deemed to exist in connection with Investments in repurchase agreements permitted under Section 4.09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do not extend to any assets other than those that are the subject of such repurchase agreement;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Liens that are contractual rights of set-off (i) relating to the establishment of depository relations with banks not given in connection with the issuance of Indebtedness, (ii) relating to pooled deposit or sweep accounts of the Issuer or any of its Restricted Subsidiaries to permit satisfaction of overdraft or similar obligations incurred in the ordinary course of business of the Issuer and its Restricted Subsidiaries or (iii) relating to purchase orders and other agreements entered into with customers of the Issuer or any of its Restricted Subsidiaries in the ordinary course of business;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Liens on accounts receivable and related assets contemplated by a Qualified Receivables Financing;</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Liens on property or assets securing Indebtedness used to defease or to satisfy and discharge the Notes in their entirety;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incurrence of such Indebtedness and such defeasance or satisfaction and discharge were not prohibited by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Non-recourse Liens on the Equity Interests of an Unrestricted Subsidiary to secure Obligations of such Unrestricted Subsidiary;</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Liens on Equity Interests deemed to exist in connection with any options, put and call arrangements, rights of first refusal and similar rights relating to Investments in Persons that are not Subsidiaries under this Indenture; and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Liens on cash proceeds of Indebtedness (and on the related escrow account) in connection with the issuance of such Indebtedness into (and pending the release from) a customary escrow arrangement, to the extent such Indebtedness is incurred in compliance with Section 4.09 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the term “Indebtedness” shall be deemed to include interest on such Indebtedness.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limited liability company, partnership, joint venture, association, joint stock company, trust, unincorporated organization, government or any agency or political subdivision thereof or any other entity.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any Equity Interest with preferential rights of payment of dividends or upon liquidation, dissolution, or winding up.</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means the legend set forth in Section 2.06(f)(i) hereof to be placed on all Notes issued under this Indenture, except where otherwise permitted by the provisions of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Receivables Financing</w:t>
      </w:r>
      <w:r>
        <w:rPr>
          <w:rFonts w:ascii="Times New Roman;Times;Serif" w:hAnsi="Times New Roman;Times;Serif"/>
          <w:b w:val="false"/>
          <w:i w:val="false"/>
          <w:caps w:val="false"/>
          <w:smallCaps w:val="false"/>
          <w:sz w:val="20"/>
        </w:rPr>
        <w:t>” means any transaction or series of transactions entered into by the Issuer or any of its Restricted Subsidiaries pursuant to which the Issuer or any of its Restricted Subsidiaries sells, conveys or otherwise transfers to (i) a Receivables Subsidiary (in the case of a transfer by the Issuer or any of its Restricted Subsidiaries) and (ii) any other Person (in the case of a transfer by a Receivables Subsidiary), or grants a security interest in, any accounts receivable (whether now existing or arising in the future) of the Issuer or any of its Restricted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xml:space="preserve">” mean Moody’s and S&amp;P;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S&amp;P, Moody’s or any Successor Rating Agency (as defined below) shall cease to be in the business of providing rating services for debt securities generally, the Issuer shall be entitled to replace any such Rating Agency or Successor Rating Agency, as the case may be, which has ceased to be in the business of providing rating services for debt securities generally with a security rating agency which is in the business of providing rating services for debt securities generally and which is nationally recognized in the United States (such rating agency, a “Successor Rating Agency”).</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Subsidiary</w:t>
      </w:r>
      <w:r>
        <w:rPr>
          <w:rFonts w:ascii="Times New Roman;Times;Serif" w:hAnsi="Times New Roman;Times;Serif"/>
          <w:b w:val="false"/>
          <w:i w:val="false"/>
          <w:caps w:val="false"/>
          <w:smallCaps w:val="false"/>
          <w:sz w:val="20"/>
        </w:rPr>
        <w:t>” means a Subsidiary of the Issuer (or another Person formed for the purposes of engaging in a Qualified Receivables Financing with the Issuer or its Restricted Subsidiaries in which the Issuer or any Restricted Subsidiary of the Issuer makes an Investment and to which the Issuer or any Restricted Subsidiary of the Issuer transfers accounts receivable and related assets) which engages in no activities other than in connection with the financing of accounts receivable of the Issuer and its Restricted Subsidiaries, all proceeds thereof and all rights (contractual or other), collateral and other assets relating thereto, and any business or activities incidental or related to such business, and which is designated by the board of directors of the Issuer (as provided below) as a Receivables Subsidiary and: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portion of the Indebtedness or any other obligations (contingent or otherwise) of which (i) is guaranteed by the Issuer or any of its Restricted Subsidiaries (excluding guarantees of obligations (other than the principal of, and interest on, Indebtedness) pursuant to Standard Securitization Undertakings), (ii) is recourse to or obligates the Issuer or any other Subsidiary of the Issuer in any way other than pursuant to Standard Securitization Undertakings, or (iii) subjects any property or asset of the Issuer or any other Subsidiary of the Issuer, directly or indirectly, contingently or otherwise, to the satisfaction thereof, other than pursuant to Standard Securitization Undertakings,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which neither the Issuer nor any of its Restricted Subsidiaries has any material contract, agreement, arrangement or understanding other than on terms which the Issuer reasonably believes to be no less favorable to the Issuer or such Restricted Subsidiary than those that might be obtained at the time from Persons that are not Affiliates of the Issuer,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which neither the Issuer nor any of its Restricted Subsidiaries has any obligation to maintain or preserve such entity’s financial condition or cause such entity to achieve certain levels of operating results.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the board of directors of the Issuer shall be evidenced to the Trustee by filing with the Trustee a certified copy of the resolution of the board of directors of the Issuer giving effect to such designation and an Officer’s Certificate certifying that such designation complied with the foregoing conditions.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Regulated Bank</w:t>
      </w:r>
      <w:r>
        <w:rPr>
          <w:rFonts w:ascii="Times New Roman;Times;Serif" w:hAnsi="Times New Roman;Times;Serif"/>
          <w:b w:val="false"/>
          <w:i w:val="false"/>
          <w:caps w:val="false"/>
          <w:smallCaps w:val="false"/>
          <w:sz w:val="20"/>
        </w:rPr>
        <w:t>” means (x) a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for the interest payable on any applicable Interest Payment Date means March 15 or September 15 (whether or not a Business Day) next preceding such Interest Payment Date.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bearing the Global Note Legend and the Private Placement Legend and deposited with or on behalf of, and registered in the name of, the Depositary or its nominee, issued in a denomination equal to the outstanding principal amount of the Notes sold or to be sold in reliance on Rule 903.</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Assets</w:t>
      </w:r>
      <w:r>
        <w:rPr>
          <w:rFonts w:ascii="Times New Roman;Times;Serif" w:hAnsi="Times New Roman;Times;Serif"/>
          <w:b w:val="false"/>
          <w:i w:val="false"/>
          <w:caps w:val="false"/>
          <w:smallCaps w:val="false"/>
          <w:sz w:val="20"/>
        </w:rPr>
        <w:t xml:space="preserve">” means (a) substantially all the assets of a business, (b) Capital Stock in any Person that results in the Issuer or another of the Restricted Subsidiaries, as the case may be, owning an amount of the Capital Stock of such Person such that it constitutes a Restricted Subsidiary or (c) any other property or assets, in the case of each of clauses (a) through (c), either (i) used or useful in a Similar Business or any other business then conducted or proposed to be conducted by the Issuer or any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its Restricted Subsidiaries or (ii) that replace the business, properties and/or assets that are the subject of such Asset Sale.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trust officer, assistant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Definitive Note</w:t>
      </w:r>
      <w:r>
        <w:rPr>
          <w:rFonts w:ascii="Times New Roman;Times;Serif" w:hAnsi="Times New Roman;Times;Serif"/>
          <w:b w:val="false"/>
          <w:i w:val="false"/>
          <w:caps w:val="false"/>
          <w:smallCaps w:val="false"/>
          <w:sz w:val="20"/>
        </w:rPr>
        <w:t>” means a Definitive Note bearing the Private Placement Legend.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Global Note</w:t>
      </w:r>
      <w:r>
        <w:rPr>
          <w:rFonts w:ascii="Times New Roman;Times;Serif" w:hAnsi="Times New Roman;Times;Serif"/>
          <w:b w:val="false"/>
          <w:i w:val="false"/>
          <w:caps w:val="false"/>
          <w:smallCaps w:val="false"/>
          <w:sz w:val="20"/>
        </w:rPr>
        <w:t>” means a Global Note bearing the Private Placement Legend.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40-day distribution compliance period as defined in Regulation 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xml:space="preserve">” means, at any time, any direct or indirect Subsidiary of the Issuer (including any Foreign Subsidiary) that is not then an Unrestricted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occurrence of an Unrestricted Subsidiary ceasing to be an Unrestricted Subsidiary, such Subsidiary shall be included in the definition of “Restricted Subsidiary.”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903</w:t>
      </w:r>
      <w:r>
        <w:rPr>
          <w:rFonts w:ascii="Times New Roman;Times;Serif" w:hAnsi="Times New Roman;Times;Serif"/>
          <w:b w:val="false"/>
          <w:i w:val="false"/>
          <w:caps w:val="false"/>
          <w:smallCaps w:val="false"/>
          <w:sz w:val="20"/>
        </w:rPr>
        <w:t>” means Rule 903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904</w:t>
      </w:r>
      <w:r>
        <w:rPr>
          <w:rFonts w:ascii="Times New Roman;Times;Serif" w:hAnsi="Times New Roman;Times;Serif"/>
          <w:b w:val="false"/>
          <w:i w:val="false"/>
          <w:caps w:val="false"/>
          <w:smallCaps w:val="false"/>
          <w:sz w:val="20"/>
        </w:rPr>
        <w:t>” means Rule 904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and any successor to its rating agency business.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arrangement providing for the leasing by the Issuer or any of its Restricted Subsidiaries of any real or tangible personal property, which property has been or is to be sold or transferred by the Issuer or such Restricted Subsidiary to a third Person in contemplation of such leasing.</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Screened Affiliate</w:t>
      </w:r>
      <w:r>
        <w:rPr>
          <w:rFonts w:ascii="Times New Roman;Times;Serif" w:hAnsi="Times New Roman;Times;Serif"/>
          <w:b w:val="false"/>
          <w:i w:val="false"/>
          <w:caps w:val="false"/>
          <w:smallCaps w:val="false"/>
          <w:sz w:val="20"/>
        </w:rPr>
        <w:t xml:space="preserve">” means any Affiliate of a Holder of Notes or, if the Holder is the DTC or DTC’s nominee, of a beneficial owner of Notes, (i) that makes investment decisions independently from such Holder or beneficial owner and any other Affiliate of such Holder that is not a Screened Affiliate, (ii) that has in place customary information screens between it and such Holder or beneficial owner and any other Affiliate of such Holder or beneficial owner that is not a Screened Affiliate and such screens prohibit the sharing of information with respect to the Issuer or its Subsidiaries, (iii) whose investment policies are not directed by such Holder or beneficial owner or any other Affiliate of such Holder or beneficial owner that is acting in concert with such Holder in connection with its investment in the Notes and (iv) whose investment decisions are not influenced by the investment decisions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Holder or beneficial owner or any other Affiliate of such Holder or beneficial owner of Notes that is acting in concert with such Holders or beneficial owners in connection with its investment in the Notes.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means any Indebtedness of the Issuer or any of its Restricted Subsidiaries secured by a Lien.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Leverage Ratio</w:t>
      </w:r>
      <w:r>
        <w:rPr>
          <w:rFonts w:ascii="Times New Roman;Times;Serif" w:hAnsi="Times New Roman;Times;Serif"/>
          <w:b w:val="false"/>
          <w:i w:val="false"/>
          <w:caps w:val="false"/>
          <w:smallCaps w:val="false"/>
          <w:sz w:val="20"/>
        </w:rPr>
        <w:t>” means, as of the date of determination, the ratio of (a) the Secured Indebtedness (i) minus cash and Cash Equivalents of the Issuer and its Restricted Subsidiaries as of such date of determination (determined after giving pro forma effect to such incurrence of Indebtedness, and each other incurrence, assumption, guarantee, redemption, retirement and extinguishment of Indebtedness as of such date of determination) and (ii) excluding any letter of credit, except to the extent obligations in respect of drawn letters of credit which have not been reimbursed within three business days, and Hedging Obligations, except any unpaid termination payments thereunder, to (b) EBITDA of the Issuer and its Restricted Subsidiaries for the most recently ended four fiscal quarters ending immediately prior to such date for which internal financial statements are available. For purposes of determining the “Secured Leverage Ratio,” “EBITDA” shall be subject to the adjustments applicable to “EBITDA” as provided for in the definition of “Fixed Charge Coverage Ratio.”</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of the SEC promulgated thereunder.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Credit Facility</w:t>
      </w:r>
      <w:r>
        <w:rPr>
          <w:rFonts w:ascii="Times New Roman;Times;Serif" w:hAnsi="Times New Roman;Times;Serif"/>
          <w:b w:val="false"/>
          <w:i w:val="false"/>
          <w:caps w:val="false"/>
          <w:smallCaps w:val="false"/>
          <w:sz w:val="20"/>
        </w:rPr>
        <w:t>” means the Credit Facility under the Sixth Amended and Restated Credit Agreement, dated August 18, 2026, as amended, by and among Griffon Corporation, Bank of America, N.A., as administrative agent, Wells Fargo Bank, National Association, BNP Paribas, Goldman Sachs &amp; Co. LLC, Deutsche Bank Securities Inc. as co-syndication agent, Capital One, National Association, M&amp;T Securities, The Toronto-Dominion Bank, New York Branch and Morgan Stanley Senior Funding, Inc., as co-documentation agents, and the other lenders party thereto, including any guarantees, collateral documents, instruments and agreements executed in connection therewith, and any 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increase in borrowings is permitted under Section 4.09).</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Restricted Subsidiary that would be a “significant subsidiary” as defined in Article 1, Rule 1-02 of Regulation S-X, promulgated pursuant to the Securities Act, as such regulation is in effect on the Issue Date.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Business</w:t>
      </w:r>
      <w:r>
        <w:rPr>
          <w:rFonts w:ascii="Times New Roman;Times;Serif" w:hAnsi="Times New Roman;Times;Serif"/>
          <w:b w:val="false"/>
          <w:i w:val="false"/>
          <w:caps w:val="false"/>
          <w:smallCaps w:val="false"/>
          <w:sz w:val="20"/>
        </w:rPr>
        <w:t>” means any business conducted or proposed to be conducted by the Issuer and its Restricted Subsidiaries on the Issue Date or any business that is similar, reasonably related, incidental or ancillary thereto.</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Securitization Undertakings</w:t>
      </w:r>
      <w:r>
        <w:rPr>
          <w:rFonts w:ascii="Times New Roman;Times;Serif" w:hAnsi="Times New Roman;Times;Serif"/>
          <w:b w:val="false"/>
          <w:i w:val="false"/>
          <w:caps w:val="false"/>
          <w:smallCaps w:val="false"/>
          <w:sz w:val="20"/>
        </w:rPr>
        <w:t xml:space="preserve">” means representations, warranties, covenants, indemnities and guarantees of performance entered into by the Issuer or any Subsidiary of the Issuer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the Issuer has determined in good faith to be customary in an accounts receivable securitization transaction.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with respect to the Notes or the Guarantee of a Guarantor,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Indebtedness of the Issuer which is by its terms subordinated in right of payment to the Notes,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Indebtedness of any Guarantor which is by its terms subordinated in right of payment to the Guarantee of such entity of the Notes or the Guarantee of a Guarantor.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joint venture, limited liability company or similar entity of which</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such Person or any Restricted Subsidiary of such Person is a controlling general partner or otherwise controls such entity.</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Assets</w:t>
      </w:r>
      <w:r>
        <w:rPr>
          <w:rFonts w:ascii="Times New Roman;Times;Serif" w:hAnsi="Times New Roman;Times;Serif"/>
          <w:b w:val="false"/>
          <w:i w:val="false"/>
          <w:caps w:val="false"/>
          <w:smallCaps w:val="false"/>
          <w:sz w:val="20"/>
        </w:rPr>
        <w:t>” means the total assets of the Issuer and its Restricted Subsidiaries on a consolidated basis, as shown on the most recent consolidated balance sheet of the Issuer and its Restricted Subsidiaries and computed in accordance with GAAP. Total Assets shall be calculated after giving effect to the transaction giving rise to the need to calculate Total Assets.</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Leverage Ratio</w:t>
      </w:r>
      <w:r>
        <w:rPr>
          <w:rFonts w:ascii="Times New Roman;Times;Serif" w:hAnsi="Times New Roman;Times;Serif"/>
          <w:b w:val="false"/>
          <w:i w:val="false"/>
          <w:caps w:val="false"/>
          <w:smallCaps w:val="false"/>
          <w:sz w:val="20"/>
        </w:rPr>
        <w:t>” means, as of the date of determination, the ratio of (a) Indebtedness of the Issuer or any of its Restricted Subsidiaries (i) minus cash and Cash Equivalents of the Issuer and its Restricted Subsidiaries as of such date of determination (determined after giving pro forma effect to such incurrence of Indebtedness, and each other incurrence, assumption, guarantee, redemption, retirement and extinguishment of Indebtedness as of such date of determination) and (ii) excluding any letter of credit, except to the extent obligations in respect of drawn letters of credit which have not been reimbursed within three business days, and Hedging Obligations, except any unpaid termination payments thereunder, to (b) EBITDA of the Issuer and its Restricted Subsidiaries for the most recently ended four fiscal quarters ending immediately prior to such date for which internal financial statements are available. For purposes of determining the “Total Leverage Ratio,” “EBITDA” shall be subject to the adjustments applicable to “EBITDA” as provided for in the definition of “Fixed Charge Coverage Ratio.”</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means the transactions contemplated by the issuance of the Notes and the amendments to the terms of the Senior Credit Facility as in effect on the Issue Date and the other related transactions to be consummated in connection with the foregoing on or shortly following the Issue Date.</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 2029;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period from the Redemption Date to October 1, 2029 is less than one year, the weekly average yield on actively traded United States Treasury securities adjusted to a constant maturity of one year will be used.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amended (15 U.S.C §§ 77aaa-77bbbb).</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Computershare Trust Company, N.A., as trustee, until a successor replaces it in accordance with the applicable provisions of this Indenture and thereafter means the successor serving hereunder.</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Definitive Note</w:t>
      </w:r>
      <w:r>
        <w:rPr>
          <w:rFonts w:ascii="Times New Roman;Times;Serif" w:hAnsi="Times New Roman;Times;Serif"/>
          <w:b w:val="false"/>
          <w:i w:val="false"/>
          <w:caps w:val="false"/>
          <w:smallCaps w:val="false"/>
          <w:sz w:val="20"/>
        </w:rPr>
        <w:t>” means one or more Definitive Notes that do not bear and are not required to bear the Private Placement Legend.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Global Note</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w:t>
      </w:r>
    </w:p>
    <w:p>
      <w:pPr>
        <w:pStyle w:val="TextBody"/>
        <w:bidi w:val="0"/>
        <w:spacing w:before="0" w:after="20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New AMES Equity Sub LLC;</w:t>
      </w:r>
    </w:p>
    <w:p>
      <w:pPr>
        <w:pStyle w:val="TextBody"/>
        <w:bidi w:val="0"/>
        <w:spacing w:before="0" w:after="20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Griffon 2L Loan Holdco, LLC;</w:t>
      </w:r>
    </w:p>
    <w:p>
      <w:pPr>
        <w:pStyle w:val="TextBody"/>
        <w:bidi w:val="0"/>
        <w:spacing w:before="0" w:after="20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Subsidiary of an Unrestricted Subsidiary;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Subsidiary of the Issuer which at the time of determination is an Unrestricted Subsidiary (as designated by the Issuer, as provided below).</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designate any Unrestricted Subsidiary to be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immediately after giving effect to such designation, no Default shall have occurred and be continuing and the Issuer could incur at least $1.00 of additional Indebtedness pursuant to the Fixed Charge Coverage Ratio test described in Section 4.09(a) hereof. Any such designation by the Issuer shall be notified by the Issuer to the Trustee by promptly filing with the Trustee a copy of the resolution of the board of directors of the Issuer or any committee thereof giving effect to such designation and an Officer’s Certificate certifying that such designation complied with the foregoing provisions.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designate any Restricted Subsidiary (other than a Receivables Subsidiary) to be an Unrestricted Subsidiary if that designation would not cause a Default; provided that (1) any such designation shall be deemed to constitute an Investment by the Issuer or its applicable Restricted Subsidiary in such Unrestricted Subsidiary at the time of such designation in an amount equal to the fair market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of the Issuer’s or such Restricted Subsidiary’s investment therein, and such deemed Investment shall be permitted only to the extent it is permitted to be made pursuant to clause (7) or (14), as applicable, of the definition of “Permitted Investments” (and, once so designated, all outstanding Investments by the Issuer and its Restricted Subsidiaries in such Subsidiary will be deemed to have been made pursuant to such clause (7) or (14), as applicable, for so long as such Subsidiary remains an Unrestricted Subsidiary), (2) the Subsidiary to be so designated does not hold any Indebtedness, Disqualified Stock or Preferred Stock, or own any Capital Stock of, the Issuer or any of its Restricted Subsidiaries and (3) all outstanding Investments owned by such Subsidiary in the Issuer or any of its Restricted Subsidiaries will be deemed to be made as of such time and will reduce the amount available under clause (7) or (14), as applicable, of the definition of “Permitted Investments”, as applicable (or, if such Investments are not then permitted to be made under clause (7) or (14), as applicable, the Issuer shall not be permitted to so designate such Subsidiary as an Unrestricted Subsidiary). Any such designation by the Issuer shall be notified by the Issuer to the Trustee by promptly filing with the Trustee a copy of the resolution of the board of directors of the Issuer or any committee thereof giving effect to such designation and an Officer’s Certificate certifying that such designation complied with the foregoing provisions.</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U.S. person as defined in Rule 902(k) promulgated under the Securities Act.</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Person as of any date means the Capital Stock of such Person that is at the time entitled to vote in the election of the board of directors of such Person.</w:t>
      </w:r>
    </w:p>
    <w:p>
      <w:pPr>
        <w:pStyle w:val="TextBody"/>
        <w:bidi w:val="0"/>
        <w:spacing w:before="0" w:after="20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means, when applied to any Indebtedness, Disqualified Stock or Preferred Stock, as the case may be, at any date, the quotient obtained by dividing:</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all such payments.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tbl>
      <w:tblPr>
        <w:tblW w:w="4510" w:type="dxa"/>
        <w:jc w:val="left"/>
        <w:tblInd w:w="0" w:type="dxa"/>
        <w:tblLayout w:type="fixed"/>
        <w:tblCellMar>
          <w:top w:w="0" w:type="dxa"/>
          <w:left w:w="0" w:type="dxa"/>
          <w:bottom w:w="0" w:type="dxa"/>
          <w:right w:w="0" w:type="dxa"/>
        </w:tblCellMar>
      </w:tblPr>
      <w:tblGrid>
        <w:gridCol w:w="3470"/>
        <w:gridCol w:w="1040"/>
      </w:tblGrid>
      <w:tr>
        <w:trPr/>
        <w:tc>
          <w:tcPr>
            <w:tcW w:w="3470" w:type="dxa"/>
            <w:tcBorders/>
            <w:vAlign w:val="center"/>
          </w:tcPr>
          <w:p>
            <w:pPr>
              <w:pStyle w:val="TableContents"/>
              <w:bidi w:val="0"/>
              <w:spacing w:before="0" w:after="283"/>
              <w:jc w:val="left"/>
              <w:rPr/>
            </w:pPr>
            <w:r>
              <w:rPr/>
              <w:br/>
            </w:r>
            <w:r>
              <w:rPr>
                <w:u w:val="single"/>
              </w:rPr>
              <w:t>Term</w:t>
            </w:r>
          </w:p>
        </w:tc>
        <w:tc>
          <w:tcPr>
            <w:tcW w:w="1040" w:type="dxa"/>
            <w:tcBorders>
              <w:bottom w:val="single" w:sz="2" w:space="0" w:color="000000"/>
            </w:tcBorders>
            <w:tcMar>
              <w:bottom w:w="28" w:type="dxa"/>
            </w:tcMar>
            <w:vAlign w:val="center"/>
          </w:tcPr>
          <w:p>
            <w:pPr>
              <w:pStyle w:val="TableContents"/>
              <w:bidi w:val="0"/>
              <w:spacing w:before="0" w:after="283"/>
              <w:jc w:val="center"/>
              <w:rPr/>
            </w:pPr>
            <w:r>
              <w:rPr/>
              <w:t>Defined in</w:t>
              <w:br/>
              <w:t>Section</w:t>
            </w:r>
          </w:p>
        </w:tc>
      </w:tr>
      <w:tr>
        <w:trPr/>
        <w:tc>
          <w:tcPr>
            <w:tcW w:w="34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3470" w:type="dxa"/>
            <w:tcBorders/>
            <w:shd w:fill="E5FFFF" w:val="clear"/>
            <w:vAlign w:val="center"/>
          </w:tcPr>
          <w:p>
            <w:pPr>
              <w:pStyle w:val="TableContents"/>
              <w:bidi w:val="0"/>
              <w:spacing w:before="0" w:after="283"/>
              <w:jc w:val="left"/>
              <w:rPr/>
            </w:pPr>
            <w:r>
              <w:rPr/>
              <w:t>“</w:t>
            </w:r>
            <w:r>
              <w:rPr/>
              <w:t xml:space="preserve">Affiliate Transaction” </w:t>
            </w:r>
          </w:p>
        </w:tc>
        <w:tc>
          <w:tcPr>
            <w:tcW w:w="1040" w:type="dxa"/>
            <w:tcBorders/>
            <w:shd w:fill="E5FFFF" w:val="clear"/>
            <w:vAlign w:val="center"/>
          </w:tcPr>
          <w:p>
            <w:pPr>
              <w:pStyle w:val="TableContents"/>
              <w:bidi w:val="0"/>
              <w:spacing w:before="0" w:after="283"/>
              <w:jc w:val="center"/>
              <w:rPr/>
            </w:pPr>
            <w:r>
              <w:rPr/>
              <w:t>4.11</w:t>
            </w:r>
          </w:p>
        </w:tc>
      </w:tr>
      <w:tr>
        <w:trPr/>
        <w:tc>
          <w:tcPr>
            <w:tcW w:w="3470" w:type="dxa"/>
            <w:tcBorders/>
            <w:shd w:fill="FFFFFF" w:val="clear"/>
            <w:vAlign w:val="center"/>
          </w:tcPr>
          <w:p>
            <w:pPr>
              <w:pStyle w:val="TableContents"/>
              <w:bidi w:val="0"/>
              <w:spacing w:before="0" w:after="283"/>
              <w:jc w:val="left"/>
              <w:rPr/>
            </w:pPr>
            <w:r>
              <w:rPr/>
              <w:t>“</w:t>
            </w:r>
            <w:r>
              <w:rPr/>
              <w:t xml:space="preserve">Asset Sale Offer” </w:t>
            </w:r>
          </w:p>
        </w:tc>
        <w:tc>
          <w:tcPr>
            <w:tcW w:w="1040" w:type="dxa"/>
            <w:tcBorders/>
            <w:shd w:fill="FFFFFF" w:val="clear"/>
            <w:vAlign w:val="center"/>
          </w:tcPr>
          <w:p>
            <w:pPr>
              <w:pStyle w:val="TableContents"/>
              <w:bidi w:val="0"/>
              <w:spacing w:before="0" w:after="283"/>
              <w:jc w:val="center"/>
              <w:rPr/>
            </w:pPr>
            <w:r>
              <w:rPr/>
              <w:t>4.10</w:t>
            </w:r>
          </w:p>
        </w:tc>
      </w:tr>
      <w:tr>
        <w:trPr/>
        <w:tc>
          <w:tcPr>
            <w:tcW w:w="3470" w:type="dxa"/>
            <w:tcBorders/>
            <w:shd w:fill="E5FFFF" w:val="clear"/>
            <w:vAlign w:val="center"/>
          </w:tcPr>
          <w:p>
            <w:pPr>
              <w:pStyle w:val="TableContents"/>
              <w:bidi w:val="0"/>
              <w:spacing w:before="0" w:after="283"/>
              <w:jc w:val="left"/>
              <w:rPr/>
            </w:pPr>
            <w:r>
              <w:rPr/>
              <w:t>“</w:t>
            </w:r>
            <w:r>
              <w:rPr/>
              <w:t xml:space="preserve">Authentication Order” </w:t>
            </w:r>
          </w:p>
        </w:tc>
        <w:tc>
          <w:tcPr>
            <w:tcW w:w="1040" w:type="dxa"/>
            <w:tcBorders/>
            <w:shd w:fill="E5FFFF" w:val="clear"/>
            <w:vAlign w:val="center"/>
          </w:tcPr>
          <w:p>
            <w:pPr>
              <w:pStyle w:val="TableContents"/>
              <w:bidi w:val="0"/>
              <w:spacing w:before="0" w:after="283"/>
              <w:jc w:val="center"/>
              <w:rPr/>
            </w:pPr>
            <w:r>
              <w:rPr/>
              <w:t>2.02</w:t>
            </w:r>
          </w:p>
        </w:tc>
      </w:tr>
      <w:tr>
        <w:trPr/>
        <w:tc>
          <w:tcPr>
            <w:tcW w:w="3470" w:type="dxa"/>
            <w:tcBorders/>
            <w:shd w:fill="FFFFFF" w:val="clear"/>
            <w:vAlign w:val="center"/>
          </w:tcPr>
          <w:p>
            <w:pPr>
              <w:pStyle w:val="TableContents"/>
              <w:bidi w:val="0"/>
              <w:spacing w:before="0" w:after="283"/>
              <w:jc w:val="left"/>
              <w:rPr/>
            </w:pPr>
            <w:r>
              <w:rPr/>
              <w:t>“</w:t>
            </w:r>
            <w:r>
              <w:rPr/>
              <w:t xml:space="preserve">Change of Control Offer” </w:t>
            </w:r>
          </w:p>
        </w:tc>
        <w:tc>
          <w:tcPr>
            <w:tcW w:w="1040" w:type="dxa"/>
            <w:tcBorders/>
            <w:shd w:fill="FFFFFF" w:val="clear"/>
            <w:vAlign w:val="center"/>
          </w:tcPr>
          <w:p>
            <w:pPr>
              <w:pStyle w:val="TableContents"/>
              <w:bidi w:val="0"/>
              <w:spacing w:before="0" w:after="283"/>
              <w:jc w:val="center"/>
              <w:rPr/>
            </w:pPr>
            <w:r>
              <w:rPr/>
              <w:t>4.14</w:t>
            </w:r>
          </w:p>
        </w:tc>
      </w:tr>
      <w:tr>
        <w:trPr/>
        <w:tc>
          <w:tcPr>
            <w:tcW w:w="3470" w:type="dxa"/>
            <w:tcBorders/>
            <w:shd w:fill="E5FFFF" w:val="clear"/>
            <w:vAlign w:val="center"/>
          </w:tcPr>
          <w:p>
            <w:pPr>
              <w:pStyle w:val="TableContents"/>
              <w:bidi w:val="0"/>
              <w:spacing w:before="0" w:after="283"/>
              <w:jc w:val="left"/>
              <w:rPr/>
            </w:pPr>
            <w:r>
              <w:rPr/>
              <w:t>“</w:t>
            </w:r>
            <w:r>
              <w:rPr/>
              <w:t xml:space="preserve">Change of Control Payment” </w:t>
            </w:r>
          </w:p>
        </w:tc>
        <w:tc>
          <w:tcPr>
            <w:tcW w:w="1040" w:type="dxa"/>
            <w:tcBorders/>
            <w:shd w:fill="E5FFFF" w:val="clear"/>
            <w:vAlign w:val="center"/>
          </w:tcPr>
          <w:p>
            <w:pPr>
              <w:pStyle w:val="TableContents"/>
              <w:bidi w:val="0"/>
              <w:spacing w:before="0" w:after="283"/>
              <w:jc w:val="center"/>
              <w:rPr/>
            </w:pPr>
            <w:r>
              <w:rPr/>
              <w:t>4.14</w:t>
            </w:r>
          </w:p>
        </w:tc>
      </w:tr>
      <w:tr>
        <w:trPr/>
        <w:tc>
          <w:tcPr>
            <w:tcW w:w="3470" w:type="dxa"/>
            <w:tcBorders/>
            <w:shd w:fill="FFFFFF" w:val="clear"/>
            <w:vAlign w:val="center"/>
          </w:tcPr>
          <w:p>
            <w:pPr>
              <w:pStyle w:val="TableContents"/>
              <w:bidi w:val="0"/>
              <w:spacing w:before="0" w:after="283"/>
              <w:jc w:val="left"/>
              <w:rPr/>
            </w:pPr>
            <w:r>
              <w:rPr/>
              <w:t>“</w:t>
            </w:r>
            <w:r>
              <w:rPr/>
              <w:t xml:space="preserve">Change of Control Payment Date” </w:t>
            </w:r>
          </w:p>
        </w:tc>
        <w:tc>
          <w:tcPr>
            <w:tcW w:w="1040" w:type="dxa"/>
            <w:tcBorders/>
            <w:shd w:fill="FFFFFF" w:val="clear"/>
            <w:vAlign w:val="center"/>
          </w:tcPr>
          <w:p>
            <w:pPr>
              <w:pStyle w:val="TableContents"/>
              <w:bidi w:val="0"/>
              <w:spacing w:before="0" w:after="283"/>
              <w:jc w:val="center"/>
              <w:rPr/>
            </w:pPr>
            <w:r>
              <w:rPr/>
              <w:t>4.14</w:t>
            </w:r>
          </w:p>
        </w:tc>
      </w:tr>
      <w:tr>
        <w:trPr/>
        <w:tc>
          <w:tcPr>
            <w:tcW w:w="3470" w:type="dxa"/>
            <w:tcBorders/>
            <w:shd w:fill="E5FFFF" w:val="clear"/>
            <w:vAlign w:val="center"/>
          </w:tcPr>
          <w:p>
            <w:pPr>
              <w:pStyle w:val="TableContents"/>
              <w:bidi w:val="0"/>
              <w:spacing w:before="0" w:after="283"/>
              <w:jc w:val="left"/>
              <w:rPr/>
            </w:pPr>
            <w:r>
              <w:rPr/>
              <w:t>“</w:t>
            </w:r>
            <w:r>
              <w:rPr/>
              <w:t xml:space="preserve">Covenant Defeasance” </w:t>
            </w:r>
          </w:p>
        </w:tc>
        <w:tc>
          <w:tcPr>
            <w:tcW w:w="1040" w:type="dxa"/>
            <w:tcBorders/>
            <w:shd w:fill="E5FFFF" w:val="clear"/>
            <w:vAlign w:val="center"/>
          </w:tcPr>
          <w:p>
            <w:pPr>
              <w:pStyle w:val="TableContents"/>
              <w:bidi w:val="0"/>
              <w:spacing w:before="0" w:after="283"/>
              <w:jc w:val="center"/>
              <w:rPr/>
            </w:pPr>
            <w:r>
              <w:rPr/>
              <w:t>8.03</w:t>
            </w:r>
          </w:p>
        </w:tc>
      </w:tr>
      <w:tr>
        <w:trPr/>
        <w:tc>
          <w:tcPr>
            <w:tcW w:w="3470" w:type="dxa"/>
            <w:tcBorders/>
            <w:shd w:fill="FFFFFF" w:val="clear"/>
            <w:vAlign w:val="center"/>
          </w:tcPr>
          <w:p>
            <w:pPr>
              <w:pStyle w:val="TableContents"/>
              <w:bidi w:val="0"/>
              <w:spacing w:before="0" w:after="283"/>
              <w:jc w:val="left"/>
              <w:rPr/>
            </w:pPr>
            <w:r>
              <w:rPr/>
              <w:t>“</w:t>
            </w:r>
            <w:r>
              <w:rPr/>
              <w:t>Directing Holder”  </w:t>
            </w:r>
          </w:p>
        </w:tc>
        <w:tc>
          <w:tcPr>
            <w:tcW w:w="1040" w:type="dxa"/>
            <w:tcBorders/>
            <w:shd w:fill="FFFFFF" w:val="clear"/>
            <w:vAlign w:val="center"/>
          </w:tcPr>
          <w:p>
            <w:pPr>
              <w:pStyle w:val="TableContents"/>
              <w:bidi w:val="0"/>
              <w:spacing w:before="0" w:after="283"/>
              <w:jc w:val="center"/>
              <w:rPr/>
            </w:pPr>
            <w:r>
              <w:rPr/>
              <w:t>6.15</w:t>
            </w:r>
          </w:p>
        </w:tc>
      </w:tr>
      <w:tr>
        <w:trPr/>
        <w:tc>
          <w:tcPr>
            <w:tcW w:w="3470" w:type="dxa"/>
            <w:tcBorders/>
            <w:shd w:fill="E5FFFF" w:val="clear"/>
            <w:vAlign w:val="center"/>
          </w:tcPr>
          <w:p>
            <w:pPr>
              <w:pStyle w:val="TableContents"/>
              <w:bidi w:val="0"/>
              <w:spacing w:before="0" w:after="283"/>
              <w:jc w:val="left"/>
              <w:rPr/>
            </w:pPr>
            <w:r>
              <w:rPr/>
              <w:t>“</w:t>
            </w:r>
            <w:r>
              <w:rPr/>
              <w:t xml:space="preserve">DTC” </w:t>
            </w:r>
          </w:p>
        </w:tc>
        <w:tc>
          <w:tcPr>
            <w:tcW w:w="1040" w:type="dxa"/>
            <w:tcBorders/>
            <w:shd w:fill="E5FFFF" w:val="clear"/>
            <w:vAlign w:val="center"/>
          </w:tcPr>
          <w:p>
            <w:pPr>
              <w:pStyle w:val="TableContents"/>
              <w:bidi w:val="0"/>
              <w:spacing w:before="0" w:after="283"/>
              <w:jc w:val="center"/>
              <w:rPr/>
            </w:pPr>
            <w:r>
              <w:rPr/>
              <w:t>2.03</w:t>
            </w:r>
          </w:p>
        </w:tc>
      </w:tr>
      <w:tr>
        <w:trPr/>
        <w:tc>
          <w:tcPr>
            <w:tcW w:w="3470" w:type="dxa"/>
            <w:tcBorders/>
            <w:shd w:fill="FFFFFF" w:val="clear"/>
            <w:vAlign w:val="center"/>
          </w:tcPr>
          <w:p>
            <w:pPr>
              <w:pStyle w:val="TableContents"/>
              <w:bidi w:val="0"/>
              <w:spacing w:before="0" w:after="283"/>
              <w:jc w:val="left"/>
              <w:rPr/>
            </w:pPr>
            <w:r>
              <w:rPr/>
              <w:t>“</w:t>
            </w:r>
            <w:r>
              <w:rPr/>
              <w:t xml:space="preserve">Event of Default” </w:t>
            </w:r>
          </w:p>
        </w:tc>
        <w:tc>
          <w:tcPr>
            <w:tcW w:w="1040" w:type="dxa"/>
            <w:tcBorders/>
            <w:shd w:fill="FFFFFF" w:val="clear"/>
            <w:vAlign w:val="center"/>
          </w:tcPr>
          <w:p>
            <w:pPr>
              <w:pStyle w:val="TableContents"/>
              <w:bidi w:val="0"/>
              <w:spacing w:before="0" w:after="283"/>
              <w:jc w:val="center"/>
              <w:rPr/>
            </w:pPr>
            <w:r>
              <w:rPr/>
              <w:t>6.01</w:t>
            </w:r>
          </w:p>
        </w:tc>
      </w:tr>
      <w:tr>
        <w:trPr/>
        <w:tc>
          <w:tcPr>
            <w:tcW w:w="3470" w:type="dxa"/>
            <w:tcBorders/>
            <w:shd w:fill="E5FFFF" w:val="clear"/>
            <w:vAlign w:val="center"/>
          </w:tcPr>
          <w:p>
            <w:pPr>
              <w:pStyle w:val="TableContents"/>
              <w:bidi w:val="0"/>
              <w:spacing w:before="0" w:after="283"/>
              <w:jc w:val="left"/>
              <w:rPr/>
            </w:pPr>
            <w:r>
              <w:rPr/>
              <w:t>“</w:t>
            </w:r>
            <w:r>
              <w:rPr/>
              <w:t xml:space="preserve">Excess Proceeds” </w:t>
            </w:r>
          </w:p>
        </w:tc>
        <w:tc>
          <w:tcPr>
            <w:tcW w:w="1040" w:type="dxa"/>
            <w:tcBorders/>
            <w:shd w:fill="E5FFFF" w:val="clear"/>
            <w:vAlign w:val="center"/>
          </w:tcPr>
          <w:p>
            <w:pPr>
              <w:pStyle w:val="TableContents"/>
              <w:bidi w:val="0"/>
              <w:spacing w:before="0" w:after="283"/>
              <w:jc w:val="center"/>
              <w:rPr/>
            </w:pPr>
            <w:r>
              <w:rPr/>
              <w:t>4.10</w:t>
            </w:r>
          </w:p>
        </w:tc>
      </w:tr>
      <w:tr>
        <w:trPr/>
        <w:tc>
          <w:tcPr>
            <w:tcW w:w="3470" w:type="dxa"/>
            <w:tcBorders/>
            <w:shd w:fill="FFFFFF" w:val="clear"/>
            <w:vAlign w:val="center"/>
          </w:tcPr>
          <w:p>
            <w:pPr>
              <w:pStyle w:val="TableContents"/>
              <w:bidi w:val="0"/>
              <w:spacing w:before="0" w:after="283"/>
              <w:jc w:val="left"/>
              <w:rPr/>
            </w:pPr>
            <w:r>
              <w:rPr/>
              <w:t>“</w:t>
            </w:r>
            <w:r>
              <w:rPr/>
              <w:t>Fixed Amounts”</w:t>
            </w:r>
          </w:p>
        </w:tc>
        <w:tc>
          <w:tcPr>
            <w:tcW w:w="1040" w:type="dxa"/>
            <w:tcBorders/>
            <w:shd w:fill="FFFFFF" w:val="clear"/>
            <w:vAlign w:val="center"/>
          </w:tcPr>
          <w:p>
            <w:pPr>
              <w:pStyle w:val="TableContents"/>
              <w:bidi w:val="0"/>
              <w:spacing w:before="0" w:after="283"/>
              <w:jc w:val="center"/>
              <w:rPr/>
            </w:pPr>
            <w:r>
              <w:rPr/>
              <w:t>1.06</w:t>
            </w:r>
          </w:p>
        </w:tc>
      </w:tr>
      <w:tr>
        <w:trPr/>
        <w:tc>
          <w:tcPr>
            <w:tcW w:w="3470" w:type="dxa"/>
            <w:tcBorders/>
            <w:shd w:fill="E5FFFF" w:val="clear"/>
            <w:vAlign w:val="center"/>
          </w:tcPr>
          <w:p>
            <w:pPr>
              <w:pStyle w:val="TableContents"/>
              <w:bidi w:val="0"/>
              <w:spacing w:before="0" w:after="283"/>
              <w:jc w:val="left"/>
              <w:rPr/>
            </w:pPr>
            <w:r>
              <w:rPr/>
              <w:t>“</w:t>
            </w:r>
            <w:r>
              <w:rPr/>
              <w:t xml:space="preserve">incur” </w:t>
            </w:r>
          </w:p>
        </w:tc>
        <w:tc>
          <w:tcPr>
            <w:tcW w:w="1040" w:type="dxa"/>
            <w:tcBorders/>
            <w:shd w:fill="E5FFFF" w:val="clear"/>
            <w:vAlign w:val="center"/>
          </w:tcPr>
          <w:p>
            <w:pPr>
              <w:pStyle w:val="TableContents"/>
              <w:bidi w:val="0"/>
              <w:spacing w:before="0" w:after="283"/>
              <w:jc w:val="center"/>
              <w:rPr/>
            </w:pPr>
            <w:r>
              <w:rPr/>
              <w:t>4.09</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3865" w:type="dxa"/>
        <w:jc w:val="left"/>
        <w:tblInd w:w="0" w:type="dxa"/>
        <w:tblLayout w:type="fixed"/>
        <w:tblCellMar>
          <w:top w:w="0" w:type="dxa"/>
          <w:left w:w="0" w:type="dxa"/>
          <w:bottom w:w="0" w:type="dxa"/>
          <w:right w:w="0" w:type="dxa"/>
        </w:tblCellMar>
      </w:tblPr>
      <w:tblGrid>
        <w:gridCol w:w="2825"/>
        <w:gridCol w:w="1040"/>
      </w:tblGrid>
      <w:tr>
        <w:trPr/>
        <w:tc>
          <w:tcPr>
            <w:tcW w:w="2825" w:type="dxa"/>
            <w:tcBorders/>
            <w:vAlign w:val="center"/>
          </w:tcPr>
          <w:p>
            <w:pPr>
              <w:pStyle w:val="TableContents"/>
              <w:bidi w:val="0"/>
              <w:spacing w:before="0" w:after="283"/>
              <w:jc w:val="left"/>
              <w:rPr/>
            </w:pPr>
            <w:r>
              <w:rPr/>
              <w:br/>
            </w:r>
            <w:r>
              <w:rPr>
                <w:u w:val="single"/>
              </w:rPr>
              <w:t>Term</w:t>
            </w:r>
          </w:p>
        </w:tc>
        <w:tc>
          <w:tcPr>
            <w:tcW w:w="1040" w:type="dxa"/>
            <w:tcBorders>
              <w:bottom w:val="single" w:sz="2" w:space="0" w:color="000000"/>
            </w:tcBorders>
            <w:tcMar>
              <w:bottom w:w="28" w:type="dxa"/>
            </w:tcMar>
            <w:vAlign w:val="center"/>
          </w:tcPr>
          <w:p>
            <w:pPr>
              <w:pStyle w:val="TableContents"/>
              <w:bidi w:val="0"/>
              <w:spacing w:before="0" w:after="283"/>
              <w:jc w:val="center"/>
              <w:rPr/>
            </w:pPr>
            <w:r>
              <w:rPr/>
              <w:t>Defined in</w:t>
              <w:br/>
              <w:t>Section</w:t>
            </w:r>
          </w:p>
        </w:tc>
      </w:tr>
      <w:tr>
        <w:trPr/>
        <w:tc>
          <w:tcPr>
            <w:tcW w:w="282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2825" w:type="dxa"/>
            <w:tcBorders/>
            <w:shd w:fill="E5FFFF" w:val="clear"/>
            <w:vAlign w:val="center"/>
          </w:tcPr>
          <w:p>
            <w:pPr>
              <w:pStyle w:val="TableContents"/>
              <w:bidi w:val="0"/>
              <w:spacing w:before="0" w:after="283"/>
              <w:jc w:val="left"/>
              <w:rPr/>
            </w:pPr>
            <w:r>
              <w:rPr/>
              <w:t>“</w:t>
            </w:r>
            <w:r>
              <w:rPr/>
              <w:t>Incurrence Based Amounts”</w:t>
            </w:r>
          </w:p>
        </w:tc>
        <w:tc>
          <w:tcPr>
            <w:tcW w:w="1040" w:type="dxa"/>
            <w:tcBorders/>
            <w:shd w:fill="E5FFFF" w:val="clear"/>
            <w:vAlign w:val="center"/>
          </w:tcPr>
          <w:p>
            <w:pPr>
              <w:pStyle w:val="TableContents"/>
              <w:bidi w:val="0"/>
              <w:spacing w:before="0" w:after="283"/>
              <w:jc w:val="center"/>
              <w:rPr/>
            </w:pPr>
            <w:r>
              <w:rPr/>
              <w:t>1.06</w:t>
            </w:r>
          </w:p>
        </w:tc>
      </w:tr>
      <w:tr>
        <w:trPr/>
        <w:tc>
          <w:tcPr>
            <w:tcW w:w="2825" w:type="dxa"/>
            <w:tcBorders/>
            <w:shd w:fill="FFFFFF" w:val="clear"/>
            <w:vAlign w:val="center"/>
          </w:tcPr>
          <w:p>
            <w:pPr>
              <w:pStyle w:val="TableContents"/>
              <w:bidi w:val="0"/>
              <w:spacing w:before="0" w:after="283"/>
              <w:jc w:val="left"/>
              <w:rPr/>
            </w:pPr>
            <w:r>
              <w:rPr/>
              <w:t>“</w:t>
            </w:r>
            <w:r>
              <w:rPr/>
              <w:t xml:space="preserve">Initial Lien” </w:t>
            </w:r>
          </w:p>
        </w:tc>
        <w:tc>
          <w:tcPr>
            <w:tcW w:w="1040" w:type="dxa"/>
            <w:tcBorders/>
            <w:shd w:fill="FFFFFF" w:val="clear"/>
            <w:vAlign w:val="center"/>
          </w:tcPr>
          <w:p>
            <w:pPr>
              <w:pStyle w:val="TableContents"/>
              <w:bidi w:val="0"/>
              <w:spacing w:before="0" w:after="283"/>
              <w:jc w:val="center"/>
              <w:rPr/>
            </w:pPr>
            <w:r>
              <w:rPr/>
              <w:t>4.12</w:t>
            </w:r>
          </w:p>
        </w:tc>
      </w:tr>
      <w:tr>
        <w:trPr/>
        <w:tc>
          <w:tcPr>
            <w:tcW w:w="2825" w:type="dxa"/>
            <w:tcBorders/>
            <w:shd w:fill="E5FFFF" w:val="clear"/>
            <w:vAlign w:val="center"/>
          </w:tcPr>
          <w:p>
            <w:pPr>
              <w:pStyle w:val="TableContents"/>
              <w:bidi w:val="0"/>
              <w:spacing w:before="0" w:after="283"/>
              <w:jc w:val="left"/>
              <w:rPr/>
            </w:pPr>
            <w:r>
              <w:rPr/>
              <w:t>“</w:t>
            </w:r>
            <w:r>
              <w:rPr/>
              <w:t xml:space="preserve">Legal Defeasance” </w:t>
            </w:r>
          </w:p>
        </w:tc>
        <w:tc>
          <w:tcPr>
            <w:tcW w:w="1040" w:type="dxa"/>
            <w:tcBorders/>
            <w:shd w:fill="E5FFFF" w:val="clear"/>
            <w:vAlign w:val="center"/>
          </w:tcPr>
          <w:p>
            <w:pPr>
              <w:pStyle w:val="TableContents"/>
              <w:bidi w:val="0"/>
              <w:spacing w:before="0" w:after="283"/>
              <w:jc w:val="center"/>
              <w:rPr/>
            </w:pPr>
            <w:r>
              <w:rPr/>
              <w:t>8.02</w:t>
            </w:r>
          </w:p>
        </w:tc>
      </w:tr>
      <w:tr>
        <w:trPr/>
        <w:tc>
          <w:tcPr>
            <w:tcW w:w="2825" w:type="dxa"/>
            <w:tcBorders/>
            <w:shd w:fill="FFFFFF" w:val="clear"/>
            <w:vAlign w:val="center"/>
          </w:tcPr>
          <w:p>
            <w:pPr>
              <w:pStyle w:val="TableContents"/>
              <w:bidi w:val="0"/>
              <w:spacing w:before="0" w:after="283"/>
              <w:jc w:val="left"/>
              <w:rPr/>
            </w:pPr>
            <w:r>
              <w:rPr/>
              <w:t>“</w:t>
            </w:r>
            <w:r>
              <w:rPr/>
              <w:t>LCT Election”</w:t>
            </w:r>
          </w:p>
        </w:tc>
        <w:tc>
          <w:tcPr>
            <w:tcW w:w="1040" w:type="dxa"/>
            <w:tcBorders/>
            <w:shd w:fill="FFFFFF" w:val="clear"/>
            <w:vAlign w:val="center"/>
          </w:tcPr>
          <w:p>
            <w:pPr>
              <w:pStyle w:val="TableContents"/>
              <w:bidi w:val="0"/>
              <w:spacing w:before="0" w:after="283"/>
              <w:jc w:val="center"/>
              <w:rPr/>
            </w:pPr>
            <w:r>
              <w:rPr/>
              <w:t>1.07</w:t>
            </w:r>
          </w:p>
        </w:tc>
      </w:tr>
      <w:tr>
        <w:trPr/>
        <w:tc>
          <w:tcPr>
            <w:tcW w:w="2825" w:type="dxa"/>
            <w:tcBorders/>
            <w:shd w:fill="E5FFFF" w:val="clear"/>
            <w:vAlign w:val="center"/>
          </w:tcPr>
          <w:p>
            <w:pPr>
              <w:pStyle w:val="TableContents"/>
              <w:bidi w:val="0"/>
              <w:spacing w:before="0" w:after="283"/>
              <w:jc w:val="left"/>
              <w:rPr/>
            </w:pPr>
            <w:r>
              <w:rPr/>
              <w:t>“</w:t>
            </w:r>
            <w:r>
              <w:rPr/>
              <w:t>LCT Test Date”</w:t>
            </w:r>
          </w:p>
        </w:tc>
        <w:tc>
          <w:tcPr>
            <w:tcW w:w="1040" w:type="dxa"/>
            <w:tcBorders/>
            <w:shd w:fill="E5FFFF" w:val="clear"/>
            <w:vAlign w:val="center"/>
          </w:tcPr>
          <w:p>
            <w:pPr>
              <w:pStyle w:val="TableContents"/>
              <w:bidi w:val="0"/>
              <w:spacing w:before="0" w:after="283"/>
              <w:jc w:val="center"/>
              <w:rPr/>
            </w:pPr>
            <w:r>
              <w:rPr/>
              <w:t>1.07</w:t>
            </w:r>
          </w:p>
        </w:tc>
      </w:tr>
      <w:tr>
        <w:trPr/>
        <w:tc>
          <w:tcPr>
            <w:tcW w:w="2825" w:type="dxa"/>
            <w:tcBorders/>
            <w:shd w:fill="FFFFFF" w:val="clear"/>
            <w:vAlign w:val="center"/>
          </w:tcPr>
          <w:p>
            <w:pPr>
              <w:pStyle w:val="TableContents"/>
              <w:bidi w:val="0"/>
              <w:spacing w:before="0" w:after="283"/>
              <w:jc w:val="left"/>
              <w:rPr/>
            </w:pPr>
            <w:r>
              <w:rPr/>
              <w:t>“</w:t>
            </w:r>
            <w:r>
              <w:rPr/>
              <w:t xml:space="preserve">Note Register” </w:t>
            </w:r>
          </w:p>
        </w:tc>
        <w:tc>
          <w:tcPr>
            <w:tcW w:w="1040" w:type="dxa"/>
            <w:tcBorders/>
            <w:shd w:fill="FFFFFF" w:val="clear"/>
            <w:vAlign w:val="center"/>
          </w:tcPr>
          <w:p>
            <w:pPr>
              <w:pStyle w:val="TableContents"/>
              <w:bidi w:val="0"/>
              <w:spacing w:before="0" w:after="283"/>
              <w:jc w:val="center"/>
              <w:rPr/>
            </w:pPr>
            <w:r>
              <w:rPr/>
              <w:t>2.03</w:t>
            </w:r>
          </w:p>
        </w:tc>
      </w:tr>
      <w:tr>
        <w:trPr/>
        <w:tc>
          <w:tcPr>
            <w:tcW w:w="2825" w:type="dxa"/>
            <w:tcBorders/>
            <w:shd w:fill="E5FFFF" w:val="clear"/>
            <w:vAlign w:val="center"/>
          </w:tcPr>
          <w:p>
            <w:pPr>
              <w:pStyle w:val="TableContents"/>
              <w:bidi w:val="0"/>
              <w:spacing w:before="0" w:after="283"/>
              <w:jc w:val="left"/>
              <w:rPr/>
            </w:pPr>
            <w:r>
              <w:rPr/>
              <w:t>“</w:t>
            </w:r>
            <w:r>
              <w:rPr/>
              <w:t>Noteholder Direction”</w:t>
            </w:r>
          </w:p>
        </w:tc>
        <w:tc>
          <w:tcPr>
            <w:tcW w:w="1040" w:type="dxa"/>
            <w:tcBorders/>
            <w:shd w:fill="E5FFFF" w:val="clear"/>
            <w:vAlign w:val="center"/>
          </w:tcPr>
          <w:p>
            <w:pPr>
              <w:pStyle w:val="TableContents"/>
              <w:bidi w:val="0"/>
              <w:spacing w:before="0" w:after="283"/>
              <w:jc w:val="center"/>
              <w:rPr/>
            </w:pPr>
            <w:r>
              <w:rPr/>
              <w:t>6.15</w:t>
            </w:r>
          </w:p>
        </w:tc>
      </w:tr>
      <w:tr>
        <w:trPr/>
        <w:tc>
          <w:tcPr>
            <w:tcW w:w="2825" w:type="dxa"/>
            <w:tcBorders/>
            <w:shd w:fill="FFFFFF" w:val="clear"/>
            <w:vAlign w:val="center"/>
          </w:tcPr>
          <w:p>
            <w:pPr>
              <w:pStyle w:val="TableContents"/>
              <w:bidi w:val="0"/>
              <w:spacing w:before="0" w:after="283"/>
              <w:jc w:val="left"/>
              <w:rPr/>
            </w:pPr>
            <w:r>
              <w:rPr/>
              <w:t>“</w:t>
            </w:r>
            <w:r>
              <w:rPr/>
              <w:t xml:space="preserve">Offer Amount” </w:t>
            </w:r>
          </w:p>
        </w:tc>
        <w:tc>
          <w:tcPr>
            <w:tcW w:w="1040" w:type="dxa"/>
            <w:tcBorders/>
            <w:shd w:fill="FFFFFF" w:val="clear"/>
            <w:vAlign w:val="center"/>
          </w:tcPr>
          <w:p>
            <w:pPr>
              <w:pStyle w:val="TableContents"/>
              <w:bidi w:val="0"/>
              <w:spacing w:before="0" w:after="283"/>
              <w:jc w:val="center"/>
              <w:rPr/>
            </w:pPr>
            <w:r>
              <w:rPr/>
              <w:t>3.09</w:t>
            </w:r>
          </w:p>
        </w:tc>
      </w:tr>
      <w:tr>
        <w:trPr/>
        <w:tc>
          <w:tcPr>
            <w:tcW w:w="2825" w:type="dxa"/>
            <w:tcBorders/>
            <w:shd w:fill="E5FFFF" w:val="clear"/>
            <w:vAlign w:val="center"/>
          </w:tcPr>
          <w:p>
            <w:pPr>
              <w:pStyle w:val="TableContents"/>
              <w:bidi w:val="0"/>
              <w:spacing w:before="0" w:after="283"/>
              <w:jc w:val="left"/>
              <w:rPr/>
            </w:pPr>
            <w:r>
              <w:rPr/>
              <w:t>“</w:t>
            </w:r>
            <w:r>
              <w:rPr/>
              <w:t xml:space="preserve">Offer Period” </w:t>
            </w:r>
          </w:p>
        </w:tc>
        <w:tc>
          <w:tcPr>
            <w:tcW w:w="1040" w:type="dxa"/>
            <w:tcBorders/>
            <w:shd w:fill="E5FFFF" w:val="clear"/>
            <w:vAlign w:val="center"/>
          </w:tcPr>
          <w:p>
            <w:pPr>
              <w:pStyle w:val="TableContents"/>
              <w:bidi w:val="0"/>
              <w:spacing w:before="0" w:after="283"/>
              <w:jc w:val="center"/>
              <w:rPr/>
            </w:pPr>
            <w:r>
              <w:rPr/>
              <w:t>3.09</w:t>
            </w:r>
          </w:p>
        </w:tc>
      </w:tr>
      <w:tr>
        <w:trPr/>
        <w:tc>
          <w:tcPr>
            <w:tcW w:w="2825" w:type="dxa"/>
            <w:tcBorders/>
            <w:shd w:fill="FFFFFF" w:val="clear"/>
            <w:vAlign w:val="center"/>
          </w:tcPr>
          <w:p>
            <w:pPr>
              <w:pStyle w:val="TableContents"/>
              <w:bidi w:val="0"/>
              <w:spacing w:before="0" w:after="283"/>
              <w:jc w:val="left"/>
              <w:rPr/>
            </w:pPr>
            <w:r>
              <w:rPr/>
              <w:t>“</w:t>
            </w:r>
            <w:r>
              <w:rPr/>
              <w:t xml:space="preserve">Paying Agent” </w:t>
            </w:r>
          </w:p>
        </w:tc>
        <w:tc>
          <w:tcPr>
            <w:tcW w:w="1040" w:type="dxa"/>
            <w:tcBorders/>
            <w:shd w:fill="FFFFFF" w:val="clear"/>
            <w:vAlign w:val="center"/>
          </w:tcPr>
          <w:p>
            <w:pPr>
              <w:pStyle w:val="TableContents"/>
              <w:bidi w:val="0"/>
              <w:spacing w:before="0" w:after="283"/>
              <w:jc w:val="center"/>
              <w:rPr/>
            </w:pPr>
            <w:r>
              <w:rPr/>
              <w:t>2.03</w:t>
            </w:r>
          </w:p>
        </w:tc>
      </w:tr>
      <w:tr>
        <w:trPr/>
        <w:tc>
          <w:tcPr>
            <w:tcW w:w="2825" w:type="dxa"/>
            <w:tcBorders/>
            <w:shd w:fill="E5FFFF" w:val="clear"/>
            <w:vAlign w:val="center"/>
          </w:tcPr>
          <w:p>
            <w:pPr>
              <w:pStyle w:val="TableContents"/>
              <w:bidi w:val="0"/>
              <w:spacing w:before="0" w:after="283"/>
              <w:jc w:val="left"/>
              <w:rPr/>
            </w:pPr>
            <w:r>
              <w:rPr/>
              <w:t>“</w:t>
            </w:r>
            <w:r>
              <w:rPr/>
              <w:t>Performance References”  </w:t>
            </w:r>
          </w:p>
        </w:tc>
        <w:tc>
          <w:tcPr>
            <w:tcW w:w="1040" w:type="dxa"/>
            <w:tcBorders/>
            <w:shd w:fill="E5FFFF" w:val="clear"/>
            <w:vAlign w:val="center"/>
          </w:tcPr>
          <w:p>
            <w:pPr>
              <w:pStyle w:val="TableContents"/>
              <w:bidi w:val="0"/>
              <w:spacing w:before="0" w:after="283"/>
              <w:jc w:val="center"/>
              <w:rPr/>
            </w:pPr>
            <w:r>
              <w:rPr/>
              <w:t>1.01</w:t>
            </w:r>
          </w:p>
        </w:tc>
      </w:tr>
      <w:tr>
        <w:trPr/>
        <w:tc>
          <w:tcPr>
            <w:tcW w:w="2825" w:type="dxa"/>
            <w:tcBorders/>
            <w:shd w:fill="FFFFFF" w:val="clear"/>
            <w:vAlign w:val="center"/>
          </w:tcPr>
          <w:p>
            <w:pPr>
              <w:pStyle w:val="TableContents"/>
              <w:bidi w:val="0"/>
              <w:spacing w:before="0" w:after="283"/>
              <w:jc w:val="left"/>
              <w:rPr/>
            </w:pPr>
            <w:r>
              <w:rPr/>
              <w:t>“</w:t>
            </w:r>
            <w:r>
              <w:rPr/>
              <w:t xml:space="preserve">Position Representation” </w:t>
            </w:r>
          </w:p>
        </w:tc>
        <w:tc>
          <w:tcPr>
            <w:tcW w:w="1040" w:type="dxa"/>
            <w:tcBorders/>
            <w:shd w:fill="FFFFFF" w:val="clear"/>
            <w:vAlign w:val="center"/>
          </w:tcPr>
          <w:p>
            <w:pPr>
              <w:pStyle w:val="TableContents"/>
              <w:bidi w:val="0"/>
              <w:spacing w:before="0" w:after="283"/>
              <w:jc w:val="center"/>
              <w:rPr/>
            </w:pPr>
            <w:r>
              <w:rPr/>
              <w:t>6.15</w:t>
            </w:r>
          </w:p>
        </w:tc>
      </w:tr>
      <w:tr>
        <w:trPr/>
        <w:tc>
          <w:tcPr>
            <w:tcW w:w="2825" w:type="dxa"/>
            <w:tcBorders/>
            <w:shd w:fill="E5FFFF" w:val="clear"/>
            <w:vAlign w:val="center"/>
          </w:tcPr>
          <w:p>
            <w:pPr>
              <w:pStyle w:val="TableContents"/>
              <w:bidi w:val="0"/>
              <w:spacing w:before="0" w:after="283"/>
              <w:jc w:val="left"/>
              <w:rPr/>
            </w:pPr>
            <w:r>
              <w:rPr/>
              <w:t>“</w:t>
            </w:r>
            <w:r>
              <w:rPr/>
              <w:t xml:space="preserve">Purchase Date” </w:t>
            </w:r>
          </w:p>
        </w:tc>
        <w:tc>
          <w:tcPr>
            <w:tcW w:w="1040" w:type="dxa"/>
            <w:tcBorders/>
            <w:shd w:fill="E5FFFF" w:val="clear"/>
            <w:vAlign w:val="center"/>
          </w:tcPr>
          <w:p>
            <w:pPr>
              <w:pStyle w:val="TableContents"/>
              <w:bidi w:val="0"/>
              <w:spacing w:before="0" w:after="283"/>
              <w:jc w:val="center"/>
              <w:rPr/>
            </w:pPr>
            <w:r>
              <w:rPr/>
              <w:t>3.09</w:t>
            </w:r>
          </w:p>
        </w:tc>
      </w:tr>
      <w:tr>
        <w:trPr/>
        <w:tc>
          <w:tcPr>
            <w:tcW w:w="2825" w:type="dxa"/>
            <w:tcBorders/>
            <w:shd w:fill="FFFFFF" w:val="clear"/>
            <w:vAlign w:val="center"/>
          </w:tcPr>
          <w:p>
            <w:pPr>
              <w:pStyle w:val="TableContents"/>
              <w:bidi w:val="0"/>
              <w:spacing w:before="0" w:after="283"/>
              <w:jc w:val="left"/>
              <w:rPr/>
            </w:pPr>
            <w:r>
              <w:rPr/>
              <w:t>“</w:t>
            </w:r>
            <w:r>
              <w:rPr/>
              <w:t xml:space="preserve">Redemption Date” </w:t>
            </w:r>
          </w:p>
        </w:tc>
        <w:tc>
          <w:tcPr>
            <w:tcW w:w="1040" w:type="dxa"/>
            <w:tcBorders/>
            <w:shd w:fill="FFFFFF" w:val="clear"/>
            <w:vAlign w:val="center"/>
          </w:tcPr>
          <w:p>
            <w:pPr>
              <w:pStyle w:val="TableContents"/>
              <w:bidi w:val="0"/>
              <w:spacing w:before="0" w:after="283"/>
              <w:jc w:val="center"/>
              <w:rPr/>
            </w:pPr>
            <w:r>
              <w:rPr/>
              <w:t>3.07</w:t>
            </w:r>
          </w:p>
        </w:tc>
      </w:tr>
      <w:tr>
        <w:trPr/>
        <w:tc>
          <w:tcPr>
            <w:tcW w:w="2825" w:type="dxa"/>
            <w:tcBorders/>
            <w:shd w:fill="E5FFFF" w:val="clear"/>
            <w:vAlign w:val="center"/>
          </w:tcPr>
          <w:p>
            <w:pPr>
              <w:pStyle w:val="TableContents"/>
              <w:bidi w:val="0"/>
              <w:spacing w:before="0" w:after="283"/>
              <w:jc w:val="left"/>
              <w:rPr/>
            </w:pPr>
            <w:r>
              <w:rPr/>
              <w:t>“</w:t>
            </w:r>
            <w:r>
              <w:rPr/>
              <w:t>Refinancing Indebtedness”</w:t>
            </w:r>
          </w:p>
        </w:tc>
        <w:tc>
          <w:tcPr>
            <w:tcW w:w="1040" w:type="dxa"/>
            <w:tcBorders/>
            <w:shd w:fill="E5FFFF" w:val="clear"/>
            <w:vAlign w:val="center"/>
          </w:tcPr>
          <w:p>
            <w:pPr>
              <w:pStyle w:val="TableContents"/>
              <w:bidi w:val="0"/>
              <w:spacing w:before="0" w:after="283"/>
              <w:jc w:val="center"/>
              <w:rPr/>
            </w:pPr>
            <w:r>
              <w:rPr/>
              <w:t>4.09</w:t>
            </w:r>
          </w:p>
        </w:tc>
      </w:tr>
      <w:tr>
        <w:trPr/>
        <w:tc>
          <w:tcPr>
            <w:tcW w:w="2825" w:type="dxa"/>
            <w:tcBorders/>
            <w:shd w:fill="FFFFFF" w:val="clear"/>
            <w:vAlign w:val="center"/>
          </w:tcPr>
          <w:p>
            <w:pPr>
              <w:pStyle w:val="TableContents"/>
              <w:bidi w:val="0"/>
              <w:spacing w:before="0" w:after="283"/>
              <w:jc w:val="left"/>
              <w:rPr/>
            </w:pPr>
            <w:r>
              <w:rPr/>
              <w:t>“</w:t>
            </w:r>
            <w:r>
              <w:rPr/>
              <w:t xml:space="preserve">Registrar” </w:t>
            </w:r>
          </w:p>
        </w:tc>
        <w:tc>
          <w:tcPr>
            <w:tcW w:w="1040" w:type="dxa"/>
            <w:tcBorders/>
            <w:shd w:fill="FFFFFF" w:val="clear"/>
            <w:vAlign w:val="center"/>
          </w:tcPr>
          <w:p>
            <w:pPr>
              <w:pStyle w:val="TableContents"/>
              <w:bidi w:val="0"/>
              <w:spacing w:before="0" w:after="283"/>
              <w:jc w:val="center"/>
              <w:rPr/>
            </w:pPr>
            <w:r>
              <w:rPr/>
              <w:t>2.03</w:t>
            </w:r>
          </w:p>
        </w:tc>
      </w:tr>
      <w:tr>
        <w:trPr/>
        <w:tc>
          <w:tcPr>
            <w:tcW w:w="2825" w:type="dxa"/>
            <w:tcBorders/>
            <w:shd w:fill="E5FFFF" w:val="clear"/>
            <w:vAlign w:val="center"/>
          </w:tcPr>
          <w:p>
            <w:pPr>
              <w:pStyle w:val="TableContents"/>
              <w:bidi w:val="0"/>
              <w:spacing w:before="0" w:after="283"/>
              <w:jc w:val="left"/>
              <w:rPr/>
            </w:pPr>
            <w:r>
              <w:rPr/>
              <w:t>“</w:t>
            </w:r>
            <w:r>
              <w:rPr/>
              <w:t xml:space="preserve">Reversion Date” </w:t>
            </w:r>
          </w:p>
        </w:tc>
        <w:tc>
          <w:tcPr>
            <w:tcW w:w="1040" w:type="dxa"/>
            <w:tcBorders/>
            <w:shd w:fill="E5FFFF" w:val="clear"/>
            <w:vAlign w:val="center"/>
          </w:tcPr>
          <w:p>
            <w:pPr>
              <w:pStyle w:val="TableContents"/>
              <w:bidi w:val="0"/>
              <w:spacing w:before="0" w:after="283"/>
              <w:jc w:val="center"/>
              <w:rPr/>
            </w:pPr>
            <w:r>
              <w:rPr/>
              <w:t>4.16</w:t>
            </w:r>
          </w:p>
        </w:tc>
      </w:tr>
      <w:tr>
        <w:trPr/>
        <w:tc>
          <w:tcPr>
            <w:tcW w:w="2825" w:type="dxa"/>
            <w:tcBorders/>
            <w:shd w:fill="FFFFFF" w:val="clear"/>
            <w:vAlign w:val="center"/>
          </w:tcPr>
          <w:p>
            <w:pPr>
              <w:pStyle w:val="TableContents"/>
              <w:bidi w:val="0"/>
              <w:spacing w:before="0" w:after="283"/>
              <w:jc w:val="left"/>
              <w:rPr/>
            </w:pPr>
            <w:r>
              <w:rPr/>
              <w:t>“</w:t>
            </w:r>
            <w:r>
              <w:rPr/>
              <w:t xml:space="preserve">Successor Company” </w:t>
            </w:r>
          </w:p>
        </w:tc>
        <w:tc>
          <w:tcPr>
            <w:tcW w:w="1040" w:type="dxa"/>
            <w:tcBorders/>
            <w:shd w:fill="FFFFFF" w:val="clear"/>
            <w:vAlign w:val="center"/>
          </w:tcPr>
          <w:p>
            <w:pPr>
              <w:pStyle w:val="TableContents"/>
              <w:bidi w:val="0"/>
              <w:spacing w:before="0" w:after="283"/>
              <w:jc w:val="center"/>
              <w:rPr/>
            </w:pPr>
            <w:r>
              <w:rPr/>
              <w:t>5.01</w:t>
            </w:r>
          </w:p>
        </w:tc>
      </w:tr>
      <w:tr>
        <w:trPr/>
        <w:tc>
          <w:tcPr>
            <w:tcW w:w="2825" w:type="dxa"/>
            <w:tcBorders/>
            <w:shd w:fill="E5FFFF" w:val="clear"/>
            <w:vAlign w:val="center"/>
          </w:tcPr>
          <w:p>
            <w:pPr>
              <w:pStyle w:val="TableContents"/>
              <w:bidi w:val="0"/>
              <w:spacing w:before="0" w:after="283"/>
              <w:jc w:val="left"/>
              <w:rPr/>
            </w:pPr>
            <w:r>
              <w:rPr/>
              <w:t>“</w:t>
            </w:r>
            <w:r>
              <w:rPr/>
              <w:t>Successor Person”</w:t>
            </w:r>
          </w:p>
        </w:tc>
        <w:tc>
          <w:tcPr>
            <w:tcW w:w="1040" w:type="dxa"/>
            <w:tcBorders/>
            <w:shd w:fill="E5FFFF" w:val="clear"/>
            <w:vAlign w:val="center"/>
          </w:tcPr>
          <w:p>
            <w:pPr>
              <w:pStyle w:val="TableContents"/>
              <w:bidi w:val="0"/>
              <w:spacing w:before="0" w:after="283"/>
              <w:jc w:val="center"/>
              <w:rPr/>
            </w:pPr>
            <w:r>
              <w:rPr/>
              <w:t>5.01</w:t>
            </w:r>
          </w:p>
        </w:tc>
      </w:tr>
      <w:tr>
        <w:trPr/>
        <w:tc>
          <w:tcPr>
            <w:tcW w:w="2825" w:type="dxa"/>
            <w:tcBorders/>
            <w:shd w:fill="FFFFFF" w:val="clear"/>
            <w:vAlign w:val="center"/>
          </w:tcPr>
          <w:p>
            <w:pPr>
              <w:pStyle w:val="TableContents"/>
              <w:bidi w:val="0"/>
              <w:spacing w:before="0" w:after="283"/>
              <w:jc w:val="left"/>
              <w:rPr/>
            </w:pPr>
            <w:r>
              <w:rPr/>
              <w:t>“</w:t>
            </w:r>
            <w:r>
              <w:rPr/>
              <w:t>Suspended Covenants”</w:t>
            </w:r>
          </w:p>
        </w:tc>
        <w:tc>
          <w:tcPr>
            <w:tcW w:w="1040" w:type="dxa"/>
            <w:tcBorders/>
            <w:shd w:fill="FFFFFF" w:val="clear"/>
            <w:vAlign w:val="center"/>
          </w:tcPr>
          <w:p>
            <w:pPr>
              <w:pStyle w:val="TableContents"/>
              <w:bidi w:val="0"/>
              <w:spacing w:before="0" w:after="283"/>
              <w:jc w:val="center"/>
              <w:rPr/>
            </w:pPr>
            <w:r>
              <w:rPr/>
              <w:t>4.16</w:t>
            </w:r>
          </w:p>
        </w:tc>
      </w:tr>
      <w:tr>
        <w:trPr/>
        <w:tc>
          <w:tcPr>
            <w:tcW w:w="2825" w:type="dxa"/>
            <w:tcBorders/>
            <w:shd w:fill="E5FFFF" w:val="clear"/>
            <w:vAlign w:val="center"/>
          </w:tcPr>
          <w:p>
            <w:pPr>
              <w:pStyle w:val="TableContents"/>
              <w:bidi w:val="0"/>
              <w:spacing w:before="0" w:after="283"/>
              <w:jc w:val="left"/>
              <w:rPr/>
            </w:pPr>
            <w:r>
              <w:rPr/>
              <w:t>“</w:t>
            </w:r>
            <w:r>
              <w:rPr/>
              <w:t>Suspension Date”</w:t>
            </w:r>
          </w:p>
        </w:tc>
        <w:tc>
          <w:tcPr>
            <w:tcW w:w="1040" w:type="dxa"/>
            <w:tcBorders/>
            <w:shd w:fill="E5FFFF" w:val="clear"/>
            <w:vAlign w:val="center"/>
          </w:tcPr>
          <w:p>
            <w:pPr>
              <w:pStyle w:val="TableContents"/>
              <w:bidi w:val="0"/>
              <w:spacing w:before="0" w:after="283"/>
              <w:jc w:val="center"/>
              <w:rPr/>
            </w:pPr>
            <w:r>
              <w:rPr/>
              <w:t>4.16</w:t>
            </w:r>
          </w:p>
        </w:tc>
      </w:tr>
      <w:tr>
        <w:trPr/>
        <w:tc>
          <w:tcPr>
            <w:tcW w:w="2825" w:type="dxa"/>
            <w:tcBorders/>
            <w:shd w:fill="FFFFFF" w:val="clear"/>
            <w:vAlign w:val="center"/>
          </w:tcPr>
          <w:p>
            <w:pPr>
              <w:pStyle w:val="TableContents"/>
              <w:bidi w:val="0"/>
              <w:spacing w:before="0" w:after="283"/>
              <w:jc w:val="left"/>
              <w:rPr/>
            </w:pPr>
            <w:r>
              <w:rPr/>
              <w:t>“</w:t>
            </w:r>
            <w:r>
              <w:rPr/>
              <w:t>Suspension Period”</w:t>
            </w:r>
          </w:p>
        </w:tc>
        <w:tc>
          <w:tcPr>
            <w:tcW w:w="1040" w:type="dxa"/>
            <w:tcBorders/>
            <w:shd w:fill="FFFFFF" w:val="clear"/>
            <w:vAlign w:val="center"/>
          </w:tcPr>
          <w:p>
            <w:pPr>
              <w:pStyle w:val="TableContents"/>
              <w:bidi w:val="0"/>
              <w:spacing w:before="0" w:after="283"/>
              <w:jc w:val="center"/>
              <w:rPr/>
            </w:pPr>
            <w:r>
              <w:rPr/>
              <w:t>4.16</w:t>
            </w:r>
          </w:p>
        </w:tc>
      </w:tr>
      <w:tr>
        <w:trPr/>
        <w:tc>
          <w:tcPr>
            <w:tcW w:w="2825" w:type="dxa"/>
            <w:tcBorders/>
            <w:shd w:fill="E5FFFF" w:val="clear"/>
            <w:vAlign w:val="center"/>
          </w:tcPr>
          <w:p>
            <w:pPr>
              <w:pStyle w:val="TableContents"/>
              <w:bidi w:val="0"/>
              <w:spacing w:before="0" w:after="283"/>
              <w:jc w:val="left"/>
              <w:rPr/>
            </w:pPr>
            <w:r>
              <w:rPr/>
              <w:t>“</w:t>
            </w:r>
            <w:r>
              <w:rPr/>
              <w:t>Verification Covenant”  </w:t>
            </w:r>
          </w:p>
        </w:tc>
        <w:tc>
          <w:tcPr>
            <w:tcW w:w="1040" w:type="dxa"/>
            <w:tcBorders/>
            <w:shd w:fill="E5FFFF" w:val="clear"/>
            <w:vAlign w:val="center"/>
          </w:tcPr>
          <w:p>
            <w:pPr>
              <w:pStyle w:val="TableContents"/>
              <w:bidi w:val="0"/>
              <w:spacing w:before="0" w:after="283"/>
              <w:jc w:val="center"/>
              <w:rPr/>
            </w:pPr>
            <w:r>
              <w:rPr/>
              <w:t>6.15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not be qualified under the Trust Indenture Act or subject to the terms of the Trust Indenture Act.</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“will” shall be interpreted to express a command;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references to sections of, or rules under, the Securities Act or the Exchange Act shall be deemed to include substitute, replacement or successor sections or rules adopted by the SEC from time to time;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any reference to an “Article,” “Section” or “clause” refers to an Article, Section or clause, as the case may be, of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words “herein,” “hereof” and “hereunder” and other words of similar import refer to this Indenture as a whole and not any particular Article, Section, clause or other subdivision;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words used herein implying any gender shall apply to both genders;</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words “including,” “includes” and similar words shall be deemed to be followed by “without limitation;” and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“consolidated” with respect to any Person refers to such Person consolidated with its Restricted Subsidiaries, and excludes from such consolidation any Unrestricted Subsidiary as if such Unrestricted Subsidiary were not an Affiliate of such Person.</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1.05.</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ownership of Notes shall be proved by the Note Register.</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any such record date shall be the later of 30 days prior to the first solicitation of such consent or the date of the most recent list of Holders furnished to the Trustee prior to such solicitation.</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any Person that is the Holder of a Global Note, including DTC, may provide its proxy or proxies to the beneficial owners of interests in any such Global Note through such depositary’s standing instructions and customary practices.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Certain Determinations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with respect to any amounts incurred or transactions entered into (or consummated) in reliance on a provision of any covenant that does not require compliance with a financial ratio or test (including the Fixed Charge Coverage Ratio, the Secured Leverage Ratio and the Total Leverage Ratio) (any such amounts, the “Fixed Amounts”) substantially concurrently or in a series of related transactions with any amounts incurred or transactions entered into (or consummated) in reliance on a provision in such covenant that requires compliance with any such financial ratio or test (any such amounts, the “Incurrence Based Amounts”), it is understood and agreed that the Fixed Amounts (and any cash proceeds thereof) in such covenant shall be disregarded in the calculation of the financial ratio or test applicable to the Incurrence Based Amounts in such covenant in connection with such incurrence, but full pro forma effect shall be given to all applicable and related transactions (including the use of proceeds of all Indebtedness to be incurred and any repayments, repurchases and redemptions of Indebtedness) and all other permitted pro forma adjustments.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Financial Calculations for Limited Condition Transactions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or issuance of Indebtedness, Disqualified Stock or Preferred Stock and the use of proceeds thereof, the incurrence of Liens, repayments, dividends and dispositions or distributions), in each case, at the option of the Issuer (the Issuer’s election to exercise such option, an “LCT Election”), the date of determination for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“LCT Test Date”) either (a) that the definitive agreements for such Limited Condition Transaction are entered into (or, if applicable, the date of delivery of an irrevocable notice, declaration of a dividend or distribution or similar event), (b)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is made (or that equivalent notice under equivalent laws, rules or regulations in such other applicable jurisdiction is made), (c) that notice is given with respect to any redemption, repurchase, defeasance, satisfaction and discharge or repayment of Indebtedness, Disqualified Stock or Preferred Stock requiring irrevocable notice in advance of such redemption, repurchase, defeasance, satisfaction and discharge or repayment or (d) that notice is given with respect to any dividend or other distribution requiring irrevocable notice in advance thereof and, in each case, if, after giving pro forma effect to the Limited Condition Transaction and any actions or transactions related thereto (including acquisitions, Investments, the incurrence or issuance of Indebtedness, Disqualified Stock or Preferred Stock and the use of proceeds thereof, the incurrence of Liens, repayments, dividends or other distributions and dispositions) and any related pro forma adjustments, the Issuer or any of the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Liens, for example, whether such Liens are to secure Indebtedness that is committed, issued or incurred at the LCT Test Date or at any time thereafter); provided that (a) if financial statements for one or more subsequent fiscal quarters shall have become available, the Issuer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or issuance of Indebtedness, Disqualified Stock or Preferred Stock and the use of proceeds thereof, the incurrence of Liens, repayments, dividends or distributions and dispositions).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any such ratio, test or basket shall be determined or tested giving pro forma effect to such Limited Condition Transaction.</w:t>
      </w:r>
    </w:p>
    <w:p>
      <w:pPr>
        <w:pStyle w:val="TextBody"/>
        <w:bidi w:val="0"/>
        <w:spacing w:before="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br/>
        <w:t>THE NOTES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Form and Dating; Terms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The Notes and the Trustee’s certificate of authentication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Notes may have notations, legends or endorsements required by law, stock exchange rules or usage in addition to those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Each Note shall be dated the date of its authentication. The Notes shall be in minimum amounts of $2,000 and integral multiples of $1,000 in excess of $2,000.</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Notes issued in global form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(including the Global Note Legend thereon and the “Schedule of Exchanges of Interests in the Global Note” attached thereto). Notes issued in definitive form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(but without the Global Note Legend thereon and without the “Schedule of Exchanges of Interests in the Global Note” attached thereto). Each Global Note shall represent such aggregate principal amount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and transfers of interests therein.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shall have no rights under this Indenture or any Global Note with respect to any Global Note held on their behalf by the Depositary or by the Trustee as custodian for the Depositary, and the Depositary shall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the Applicable Procedures or the operation of customary practices of the Depositary governing the exercise of the rights of a holder of a beneficial interest in any Global Note.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 The aggregate principal amount of Initial Notes that may be authenticated and delivered under this Indenture on the Issue Date is $800,000,000, and the aggregate amount of Additional Notes that may be authenticated and delivered under this Indenture is unlimited (so long as not otherwise prohibited by the terms of this Indenture, including Section 4.09 hereof).</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subject to repurchase by the Issuer pursuant to an Asset Sale Offer as provided in Section 4.10 hereof or a Change of Control Offer as provided in Section 4.14 hereof. The Notes shall not be redeemable, other than as provided in Article III.</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Euroclear and Clearstream Procedures Applicable</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Officer shall execute the Notes on behalf of the Issuer by manual or facsimile signature.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Note shall not be entitled to any benefit under this Indenture or be valid or obligatory for any purpose until authenticated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case may be, by the manual signature of the Trustee. The signature shall be conclusive evidence that the Note has been duly authenticated and delivered under this Indenture.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Trustee shall, upon receipt of an Issuer Order (an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authenticate and deliver the Initial Notes specified in such Authentication Order.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Unless otherwise provided in such appointment, an authenticating agent may authenticate Notes whenever the Trustee may do so. Each reference in this Indenture to authentication by the Trustee includes authentication by such agent. An authenticating agent shall have the same rights as the Trustee to deal with Holders, the Issuer or an Affiliate of the Issuer.</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where Notes may be presented for registration of transfer or for exchange (the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and an office or agency where Notes may be presented for payment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The Registrar shall keep a register of the Notes (the “</w:t>
      </w:r>
      <w:r>
        <w:rPr>
          <w:rFonts w:ascii="Times New Roman;Times;Serif" w:hAnsi="Times New Roman;Times;Serif"/>
          <w:b w:val="false"/>
          <w:i w:val="false"/>
          <w:caps w:val="false"/>
          <w:smallCaps w:val="false"/>
          <w:sz w:val="20"/>
          <w:u w:val="single"/>
        </w:rPr>
        <w:t>Note Register</w:t>
      </w:r>
      <w:r>
        <w:rPr>
          <w:rFonts w:ascii="Times New Roman;Times;Serif" w:hAnsi="Times New Roman;Times;Serif"/>
          <w:b w:val="false"/>
          <w:i w:val="false"/>
          <w:caps w:val="false"/>
          <w:smallCaps w:val="false"/>
          <w:sz w:val="20"/>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act as Depositary with respect to the Global Notes.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Paying Agent and Registrar for the Notes and to act as Custodian with respect to the Global Notes.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relating to the Notes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Event of Default under Sections 6.01(6) or (7), the Trustee shall serve as Paying Agent for the Notes.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Holder Lists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and Exchange of Global Notes</w:t>
      </w:r>
      <w:r>
        <w:rPr>
          <w:rFonts w:ascii="Times New Roman;Times;Serif" w:hAnsi="Times New Roman;Times;Serif"/>
          <w:b w:val="false"/>
          <w:i w:val="false"/>
          <w:caps w:val="false"/>
          <w:smallCaps w:val="false"/>
          <w:sz w:val="20"/>
        </w:rPr>
        <w:t xml:space="preserve">.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90 days; (ii) there shall have occurred and be continuing an Event of Default with respect to the Notes, or (iii) the Issuer, at its option, notifies the Trustee that it elects to cause the issuance of Definitive Notes. Upon the occurrence of any of the preceding events in (i), (ii) or (iii)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except for Definitive Notes issued subsequent to any of the preceding events in (i) or (ii) above and pursuant to Section 2.06(c) hereof. A Global Note may not be exchanged for another Note other than as provided in this Section 2.06(a);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beneficial interests in a Global Note may be transferred and exchanged as provided in Section 2.06(b) or (c) hereof.</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 and Exchange of Beneficial Interests in the Global Notes</w:t>
      </w:r>
      <w:r>
        <w:rPr>
          <w:rFonts w:ascii="Times New Roman;Times;Serif" w:hAnsi="Times New Roman;Times;Serif"/>
          <w:b w:val="false"/>
          <w:i w:val="false"/>
          <w:caps w:val="false"/>
          <w:smallCaps w:val="false"/>
          <w:sz w:val="20"/>
        </w:rPr>
        <w:t xml:space="preserve">.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compliance with either subparagraph (i) or (ii) below, as applicable, as well as one or more of the other following subparagraphs, as applicable:</w:t>
      </w:r>
    </w:p>
    <w:p>
      <w:pPr>
        <w:pStyle w:val="TextBody"/>
        <w:bidi w:val="0"/>
        <w:spacing w:before="0" w:after="20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Transfer of Beneficial Interests in the Same Global Note</w:t>
      </w:r>
      <w:r>
        <w:rPr>
          <w:rFonts w:ascii="Times New Roman;Times;Serif" w:hAnsi="Times New Roman;Times;Serif"/>
          <w:b w:val="false"/>
          <w:i w:val="false"/>
          <w:caps w:val="false"/>
          <w:smallCaps w:val="false"/>
          <w:sz w:val="20"/>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and any Applicable Procedures;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Except as may be required by any Applicable Procedures, no written orders or instructions shall be required to be delivered to the Registrar to effect the transfers described in this Section 2.06(b)(i).</w:t>
      </w:r>
    </w:p>
    <w:p>
      <w:pPr>
        <w:pStyle w:val="TextBody"/>
        <w:bidi w:val="0"/>
        <w:spacing w:before="0" w:after="20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All Other Transfers and Exchanges of Beneficial Interests in Global Notes</w:t>
      </w:r>
      <w:r>
        <w:rPr>
          <w:rFonts w:ascii="Times New Roman;Times;Serif" w:hAnsi="Times New Roman;Times;Serif"/>
          <w:b w:val="false"/>
          <w:i w:val="false"/>
          <w:caps w:val="false"/>
          <w:smallCaps w:val="false"/>
          <w:sz w:val="20"/>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if permitted under Section 2.06(a),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Definitive Notes be issued upon the transfer or exchange of beneficial interests in the Regulation S Global Note prior to (A) the expiration of the Restricted Period and (B) the receipt by the Registrar of any certificates required pursuant to Rule 903.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pStyle w:val="TextBody"/>
        <w:bidi w:val="0"/>
        <w:spacing w:before="0" w:after="20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pStyle w:val="TextBody"/>
        <w:bidi w:val="0"/>
        <w:spacing w:before="0" w:after="20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transferee will take delivery in the form of a beneficial interest in the 144A Global Note,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 or</w:t>
      </w:r>
    </w:p>
    <w:p>
      <w:pPr>
        <w:pStyle w:val="TextBody"/>
        <w:bidi w:val="0"/>
        <w:spacing w:before="0" w:after="20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transferee will take delivery in the form of a beneficial interest in the Regulation S Global Note,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Transfer and Exchange of Beneficial Interests in a Restricted Global Note for Beneficial Interests in an Unrestricted Global Note</w:t>
      </w:r>
      <w:r>
        <w:rPr>
          <w:rFonts w:ascii="Times New Roman;Times;Serif" w:hAnsi="Times New Roman;Times;Serif"/>
          <w:b w:val="false"/>
          <w:i w:val="false"/>
          <w:caps w:val="false"/>
          <w:smallCaps w:val="false"/>
          <w:sz w:val="20"/>
        </w:rPr>
        <w:t xml:space="preserve">. A beneficial interest in any Restricted Global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a registration rights agreement;</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an effective registration statement under the Securities Act;</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an exchange offer registration statement;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Registrar receives the following:</w:t>
      </w:r>
    </w:p>
    <w:p>
      <w:pPr>
        <w:pStyle w:val="TextBody"/>
        <w:bidi w:val="0"/>
        <w:spacing w:before="0" w:after="200"/>
        <w:ind w:left="216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 beneficial interest in an Unrestricted Global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(1)(a) thereof; or</w:t>
      </w:r>
    </w:p>
    <w:p>
      <w:pPr>
        <w:pStyle w:val="TextBody"/>
        <w:bidi w:val="0"/>
        <w:spacing w:before="0" w:after="200"/>
        <w:ind w:left="216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subparagraph (B) or (D)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may not be exchanged for, or transferred to Persons who take delivery thereof in the form of, a beneficial interest in a Restricted Global Note.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 or Exchange of Beneficial Interests for 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Beneficial Interests in Restricted Global Notes to Restricted Definitive Notes</w:t>
      </w:r>
      <w:r>
        <w:rPr>
          <w:rFonts w:ascii="Times New Roman;Times;Serif" w:hAnsi="Times New Roman;Times;Serif"/>
          <w:b w:val="false"/>
          <w:i w:val="false"/>
          <w:caps w:val="false"/>
          <w:smallCaps w:val="false"/>
          <w:sz w:val="20"/>
        </w:rPr>
        <w:t xml:space="preserve">. If any holder of a beneficial interest in a Restricted Global Note proposes to exchange such beneficial interest for a Restricted Definitive Note or to transfer such beneficial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to a Person who takes delivery thereof in the form of a Restricted Definitive Note, then, upon the occurrence of any of the events in paragraph (i) or (ii) of Section 2.06(a) hereof and receipt by the Registrar of the following documentation: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beneficial interest in a Restricted Global Note proposes to exchange such beneficial interest for a Restricted Definitive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(2)(a)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beneficial interest is being transferred to a QIB in accordance with Rule 144A,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beneficial interest is being transferred to a Non-U.S. Person in an offshore transaction in accordance with Rule 903 or Rule 904,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beneficial interest is being transferred pursuant to an exemption from the registration requirements of the Securities Act in accordance with Rule 144,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(3)(a)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beneficial interest is being transferred to the Issuer or any of its Restricted Subsidiaries,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(3)(b) thereof;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beneficial interest is being transferred pursuant to an effective registration statement under the Securities Act,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(3)(c) thereof,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Beneficial Interests in Regulation S Temporary Global Note to Definitive Notes</w:t>
      </w:r>
      <w:r>
        <w:rPr>
          <w:rFonts w:ascii="Times New Roman;Times;Serif" w:hAnsi="Times New Roman;Times;Serif"/>
          <w:b w:val="false"/>
          <w:i w:val="false"/>
          <w:caps w:val="false"/>
          <w:smallCaps w:val="false"/>
          <w:sz w:val="20"/>
        </w:rPr>
        <w:t>. Notwithstanding Sections 2.06(c)(i)(A) and (C) hereof, a beneficial interest in the Regulation S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of the Securities Act, except in the case of a transfer pursuant to an exemption from the registration requirements of the Securities Act other than Rule 903 or Rule 904.</w:t>
      </w:r>
    </w:p>
    <w:p>
      <w:pPr>
        <w:pStyle w:val="TextBody"/>
        <w:bidi w:val="0"/>
        <w:spacing w:before="0" w:after="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Beneficial Interests in Restricted Global Notes to Unrestricted Definitive Notes</w:t>
      </w:r>
      <w:r>
        <w:rPr>
          <w:rFonts w:ascii="Times New Roman;Times;Serif" w:hAnsi="Times New Roman;Times;Serif"/>
          <w:b w:val="false"/>
          <w:i w:val="false"/>
          <w:caps w:val="false"/>
          <w:smallCaps w:val="false"/>
          <w:sz w:val="20"/>
        </w:rPr>
        <w:t xml:space="preserve">. A holder of a beneficial interest in a Restricted Global Note may exchange such beneficial interest for an Unrestricted Definitive Note or may transfer such beneficial interest to a Person who takes delivery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in the form of an Unrestricted Definitive Note only upon the occurrence of any of the events in subsection (i) or (ii) of Section 2.06(a) hereof and if: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an effective registration statement under the Securities Act;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an exchange offer registration statement;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Registrar receives the following:</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an Unrestricted Definitive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(1)(b) thereof;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Beneficial Interests in Unrestricted Global Notes to Unrestricted Definitive Notes</w:t>
      </w:r>
      <w:r>
        <w:rPr>
          <w:rFonts w:ascii="Times New Roman;Times;Serif" w:hAnsi="Times New Roman;Times;Serif"/>
          <w:b w:val="false"/>
          <w:i w:val="false"/>
          <w:caps w:val="false"/>
          <w:smallCaps w:val="false"/>
          <w:sz w:val="20"/>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or (ii) of Section 2.06(a) hereof and satisfaction of the conditions set forth in Section 2.06(b)(ii) hereof, 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and Exchange of Definitive Notes for Beneficial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Restricted Definitive Notes to Beneficial Interests in Restricted Global Notes</w:t>
      </w:r>
      <w:r>
        <w:rPr>
          <w:rFonts w:ascii="Times New Roman;Times;Serif" w:hAnsi="Times New Roman;Times;Serif"/>
          <w:b w:val="false"/>
          <w:i w:val="false"/>
          <w:caps w:val="false"/>
          <w:smallCaps w:val="false"/>
          <w:sz w:val="20"/>
        </w:rPr>
        <w:t xml:space="preserve">. If any Holder of a Restricted Definitive Note proposes to exchange such Note for a beneficial interest in a Restricted Global Note or to transfer such Restricted Definitive Note to a Person who takes delivery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in the form of a beneficial interest in a Restricted Global Note, then, upon receipt by the Registrar of the following documentation:</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Note proposes to exchange such Note for a beneficial interest in a Restricted Global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(2)(b)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Restricted Definitive Note is being transferred to a QIB in accordance with Rule 144A,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Restricted Definitive Note is being transferred to a Non-U.S. Person in an offshore transaction in accordance with Rule 903 or Rule 904,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Restricted Definitive Note is being transferred pursuant to an exemption from the registration requirements of the Securities Act in accordance with Rule 144,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(3)(a) thereof;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Restricted Definitive Note is being transferred to the Issuer or any of its Restricted Subsidiaries,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(3)(b) thereof;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Restricted Definitive Note is being transferred pursuant to an effective registration statement under the Securities Act,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(3)(c) thereof,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increase or cause to be increased in a corresponding amount pursuant to Section 2.06(g) the aggregate principal amount of, in the case of clause (A) above, the applicable Restricted Global Note, in the case of clause (B) above, the applicable 144A Global Note, and in the case of clause (C) above, the applicable Regulation S Global Note.</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an effective registration statement under the Securities Act;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an exchange offer registration statement; or</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Registrar receives the following:</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Definitive Notes proposes to exchange such Notes for a beneficial interest in the Unrestricted Global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(1)(c) thereof;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any of the subparagraphs in this Section 2.06(d)(ii), the Trustee shall cancel the Definitive Notes and increase or cause to be increased in a corresponding amount pursuant to Section 2.06(g) the aggregate principal amount of the Unrestricted Global Note.</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in a corresponding amount pursuant to Section 2.06(g) the aggregate principal amount of one of the Unrestricted Global Notes.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subparagraph (ii)(B), (ii)(D)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and Exchange of Definitive Notes for Definitive Notes</w:t>
      </w:r>
      <w:r>
        <w:rPr>
          <w:rFonts w:ascii="Times New Roman;Times;Serif" w:hAnsi="Times New Roman;Times;Serif"/>
          <w:b w:val="false"/>
          <w:i w:val="false"/>
          <w:caps w:val="false"/>
          <w:smallCaps w:val="false"/>
          <w:sz w:val="20"/>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 will be made to a QIB in accordance with Rule 144A, then the transferor must deliver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required by item (3) thereof, if applicable.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an effective registration statement under the Securities Act;</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an exchange offer registration statement; or</w:t>
      </w:r>
    </w:p>
    <w:p>
      <w:pPr>
        <w:pStyle w:val="TextBody"/>
        <w:bidi w:val="0"/>
        <w:spacing w:before="0" w:after="20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Registrar receives the following:</w:t>
      </w:r>
    </w:p>
    <w:p>
      <w:pPr>
        <w:pStyle w:val="TextBody"/>
        <w:bidi w:val="0"/>
        <w:spacing w:before="0" w:after="200"/>
        <w:ind w:left="216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Restricted Definitive Notes proposes to exchange such Notes for an Unrestricted Definitive Note, a certificate from such Holder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(1)(d) thereof; or</w:t>
      </w:r>
    </w:p>
    <w:p>
      <w:pPr>
        <w:pStyle w:val="TextBody"/>
        <w:bidi w:val="0"/>
        <w:spacing w:before="0" w:after="200"/>
        <w:ind w:left="216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Restricted Definitive Notes proposes to transfer such Notes to a Person who shall take delivery thereof in the form of an Unrestricted Definitive Note, a certificate from such Holder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following legends shall appear on the face of all Global Notes and Definitive Notes issued under this Indenture unless specifically stated otherwise in the applicable provisions of this Indenture: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subparagraphs (B), (C) and (D) below, each Global Note and each Definitive Note (and all Notes issued in exchange therefor or substitution thereof) shall bear the legend in substantially the following form:</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30" w:right="670" w:firstLine="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U.S. SECURITIES ACT OF 1933, AS AMENDED (THE “SECURITIES ACT”), AND, ACCORDINGLY, MAY NOT BE OFFERED OR SOLD WITHIN THE UNITED STATES OR TO, OR FOR THE ACCOUNT OR BENEFIT OF, U.S. PERSONS EXCEPT AS SET FORTH BELOW. BY ITS ACQUISITION HEREOF, THE HOLDER (1) REPRESENTS THAT (A) IT IS A “QUALIFIED INSTITUTIONAL BUYER” (AS DEFINED IN RULE 144A PROMULGATED UNDER THE SECURITIES ACT), (B) IT IS NOT A U.S. PERSON AND IS ACQUIRING THIS SECURITY IN AN OFFSHORE TRANSACTION IN COMPLIANCE WITH RULE 904 PROMULGATED UNDER THE SECURITIES ACT OR (C) IT IS AN ACCREDITED INVESTOR (AS DEFINED IN RULE 501(a)(1), (2), (3), OR (7) PROMULGATED UNDER THE SECURITIES ACT (AN “ACCREDITED INVESTOR”)), (2) AGREES THAT IT WILL NOT WITHIN ONE YEAR AFTER THE ORIGINAL ISSUANCE OF THIS SECURITY RESELL OR OTHERWISE TRANSFER THIS SECURITY EXCEPT (A) TO THE ISSUER OR ANY SUBSIDIARY THEREOF, (B) INSIDE THE UNITED STATES TO A QUALIFIED INSTITUTIONAL BUYER IN COMPLIANCE WITH RULE 144A PROMULGATED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 (D) OUTSIDE THE UNITED STATES IN AN OFFSHORE TRANSACTION IN COMPLIANCE WITH RULE 904 PROMULGATED UNDER THE SECURITIES ACT (IF AVAILABLE), (E) PURSUANT TO THE EXEMPTION FROM REGISTRATION PROVIDED BY RULE 144 PROMULGATED UNDER THE SECURITIES ACT (IF AVAILABLE), (F) IN ACCORDANCE WITH ANOTHER EXEMPTION FROM THE REGISTRATION REQUIREMENTS OF THE SECURITIES ACT (AND BASED UPON AN OPINION OF COUNSEL IF THE ISSUER SO REQUESTS), OR (G) 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PROMULGATED UNDER THE SECURITIES ACT.”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any Global Note or Definitive Note issued pursuant to subparagraph (b)(iv), (c)(iii), (c)(iv), (d)(ii), (d)(iii), (e)(ii) or (e)(iii) of this Section 2.06 (and all Notes issued in exchange therefor or substitution thereof) shall not bear the Private Placement Legend.</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Each Global Note shall bear a legend in substantially the following form:</w:t>
      </w:r>
    </w:p>
    <w:p>
      <w:pPr>
        <w:pStyle w:val="TextBody"/>
        <w:bidi w:val="0"/>
        <w:spacing w:before="0" w:after="200"/>
        <w:ind w:left="144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2.06(g)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Cancellation and/or Adjustment of Global Notes</w:t>
      </w:r>
      <w:r>
        <w:rPr>
          <w:rFonts w:ascii="Times New Roman;Times;Serif" w:hAnsi="Times New Roman;Times;Serif"/>
          <w:b w:val="false"/>
          <w:i w:val="false"/>
          <w:caps w:val="false"/>
          <w:smallCaps w:val="false"/>
          <w:sz w:val="20"/>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the aggregate principal amount of such other Global Note shall be increased in a corresponding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pursuant to this Section 2.06(g) and an endorsement shall be made on such Global Note by the Trustee or by the Depositary at the direction of the Trustee to reflect such increase.</w:t>
      </w:r>
    </w:p>
    <w:p>
      <w:pPr>
        <w:pStyle w:val="TextBody"/>
        <w:bidi w:val="0"/>
        <w:spacing w:before="0" w:after="20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General Provisions Relating to Transfers and Exchanges</w:t>
      </w:r>
      <w:r>
        <w:rPr>
          <w:rFonts w:ascii="Times New Roman;Times;Serif" w:hAnsi="Times New Roman;Times;Serif"/>
          <w:b w:val="false"/>
          <w:i w:val="false"/>
          <w:caps w:val="false"/>
          <w:smallCaps w:val="false"/>
          <w:sz w:val="20"/>
        </w:rPr>
        <w:t>.</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Issuer shall execute and the Trustee shall authenticate Global Notes and Definitive Notes upon receipt of an Authentication Order in accordance with Section 2.02 hereof or at the Registrar’s request.</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to a holder of a beneficial interest in a Global Note or to a Holder of a Definitive Note for any registration of transfer or exchange, but the Issuer or the Trustee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9.05 hereof).</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Registrar nor the Issuer shall be required to register the transfer of or exchange any Note selected for redemption in whole or in part, except the unredeemed portion of any Note being redeemed in part.</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shall not be required (A) to issue, to register the transfer of or to exchange any Notes during a period beginning at the opening of business 15 days before the day of the mailing of a notice of redemption of Notes for redemption under Section 3.02 hereof and ending at the close of business on the day of such mailing, (B) to register the transfer of or to exchange any Note so selected for redemption or tendered (and not withdrawn) for repurchase in connection with a Change of Control Offer or an Asset Sale Offer in whole or in part, except the unredeemed portion of any Note being redeemed in part or (C) to register the transfer of or to exchange a Note between a Record Date and the next succeeding Interest Payment Date.</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Prior to due presentment for the registration of a transfer of any Note, the Trustee, any agent and the Issuer may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Upon surrender for registration of transfer of any Note at the office or agency of the Issuer designated pursuant to Section 4.02 hereof, the Issuer shall execute, and the Trustee shall authenticate and mail, in the name of the designated transferee or transferees, one or more replacement Notes of any authorized denomination or denominations of a like aggregate principal amount.</w:t>
      </w:r>
    </w:p>
    <w:p>
      <w:pPr>
        <w:pStyle w:val="TextBody"/>
        <w:bidi w:val="0"/>
        <w:spacing w:before="0" w:after="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the option of the Holder, subject to Section 2.06(a),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to which the Holder making the exchange is entitled in accordance with the provisions of Section 2.02 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certifications, certificates and Opinions of Counsel required to be submitted to the Registrar pursuant to this Section 2.06 to effect a registration of transfer or exchange may be submitted by facsimile.</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00"/>
        <w:ind w:left="0" w:right="0" w:firstLine="1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agent shall have any responsibility or liability for any actions taken or not taken by the Depositary.</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Replacement Notes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the Registrar or the Issuer or the Trustee receives evidence to their satisfaction of the ownership and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At the Issuer’s request, such Holder shall reimburse the Issuer for its expenses in replacing a Note.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issued in accordance with this Section 2.07 is a contractual obligation of the Issuer and shall be entitled to all of the benefits of this Indenture equally and proportionately with all other Notes duly issued hereunder.</w:t>
      </w:r>
    </w:p>
    <w:p>
      <w:pPr>
        <w:pStyle w:val="TextBody"/>
        <w:bidi w:val="0"/>
        <w:spacing w:before="0" w:after="20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hereof, it ceases to be outstanding unless the Trustee receives proof satisfactory to it that the replaced Note is held by a bona fide purchaser.</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hereof, it ceases to be outstanding and interest on it ceases to accrue.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Treasury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pledged Notes and that the pledgee is not the Issuer or any obligor upon the Notes or any Affiliate of the Issuer or of such other obligor.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holders, as the case may be, of temporary Notes shall be entitled to all of the benefits accorded to Holders, or beneficial holders, respectively, of Notes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in accordance with its customary procedures (subject to the record retention requirement of the Exchange Act). Evidence of the disposal of all cancelled Notes shall be delivered to the Issuer upon the Issuer’s written request. The Issuer may not issue new Notes to replace Notes that it has paid or that have been delivered to the Trustee for cancellation.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the Issuer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The Trustee shall fix or cause to be fixed each such special record date and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special record date shall be less than 10 days prior to the related payment date for such defaulted interest. The Trustee shall promptly notify the Issuer of such special record date and in any event at least 20 days before such special record date. At least 15 days before the special record date, the Issuer (or, upon the written request of the Issuer, the Trustee in the name and at the expense of the Issuer) shall mail or cause to be mailed, first-class postage prepaid, to each Holder a notice at his or her address as it appears in the Note Register that states the special record date, the related payment date and the amount of such interest to be paid. The Trustee shall not at any time be under any duty or responsibility to any holder of Notes to</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CUSIP or ISIN Numbers</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in issuing the Notes may use CUSIP and/or ISIN numbers (if then generally in use) and, if so, the Trustee shall use CUSIP and/or ISIN numbers in notices, including notices of redemption, exchange or offers to purchase as a convenience to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related redemption, exchange or offers to purchase shall not be affected by any defect in or omission of such numbers. The Issuer will as promptly as practicable notify the Trustee in writing of any change in the CUSIP and/or ISIN numbers.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Notices To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Notes pursuant to Section 3.07 hereof, it shall furnish to the Trustee, at least 10 days but not more than 60 days before a Redemption Date, an Officer’s Certificate setting forth (i) the paragraph or subparagraph of such Note and/or Section of this Indenture pursuant to which the redemption shall occur, (ii) the Redemption Date, (iii) the principal amount of the Notes to be redeemed and (iv) the redemption price.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Selection of Notes To Be Redeemed or Purchased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less than all of the Notes are to be redeemed or purchased in an offer to purchase at any time, the Trustee shall select the Notes to be redeemed or purchased (a) if the Notes are listed on any national securities exchange, in compliance with the requirements of the principal national securities exchange on which the Notes are listed; (b)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practicable (or, in the case of Global Notes, the Trustee will select Notes for redemption based on DTC’s method that most nearly approximates a pro rata selection or by such other method that the Trustee shall deem fair and appropriate) or (c) by lot or such other similar method in accordance with the procedures of DTC or through book-entry transfer. In the event of partial redemption or purchase by lot, the particular Notes to be redeemed or purchased shall be selected, unless otherwise provided herein, not less than 10 nor more than 60 days prior to the redemption date by the Trustee from the outstanding Notes not previously called for redemption or purchase.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or whole multiples of $1,000 in excess of $2,000; no Notes of $2,000 or less can be redeemed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in connection with any offer to purchase the Notes (including pursuant to a Change of Control Offer), if Holders of at least 90% in aggregate principal amount of the Notes outstanding tender such Notes in such offer, the Issuer or such other Person, upon notice given not more than 60 days following such purchase pursuant to such offer, may redeem all of the remaining Notes at a price in cash equal to the price offered to each holder in such prior offer, plus, to the extent not included in the prior offer payment, accrued and unpaid interest, if any, on the Notes redeemed, to (but not including) the date of redemption, subject to the rights of Holders of Notes on a relevant record date to receive interest due on an interest payment date occurring on or prior to the redemption date. In determining whether the Holders of at least 90% in aggregate principal amount of the outstanding Notes have validly tendered and not validly withdrawn Notes in an offer, Notes owned by an Affiliate of the Issuer or by funds controlled or managed by any Affiliate of the Issuer, or any successor thereof, shall be deemed to be outstanding for the purposes of such offer.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3.09 hereof, the Issuer shall mail or cause to be mailed by first-class mail notices of redemption at least 10 days but not more than 60 days before the redemption date to each Holder of Notes to be redeemed at such Holder’s registered address, except that redemption notices may be mailed more than 60 days prior to a redemption date if the notice is issued in connection with Article VIII or Article XI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(including the CUSIP and ISIN numbers) to be redeemed and shall state: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of the Notes upon cancellation of the original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Paying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Paying Agent to collect the redemption price;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 defaults in making such redemption payment, interest on Notes called for redemption ceases to accrue on and after the Redemption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or subparagraph of the Notes and/or Section of this Indenture pursuant to which the Notes called for redemption are being redeemed;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no representation is made as to the correctness or accuracy of the CUSIP or ISIN number, if any, listed in such notice or printed on the Notes;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conditions, if any, to such notice of redemption.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have delivered to the Trustee, at least one Business Day before notice of redemption is required to be mailed or caused to be mailed to Holders pursuant to this Section 3.03 (unless a shorter notice shall be agreed to by the Trustee), an Officer’s Certificate requesting that the Trustee give such notice and setting forth the information to be stated in such notice as provided in the preceding paragraph.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notice of redemption is mailed in accordance with Section 3.03 hereof and subject to the proviso in this sentence, Notes called for redemption become due and payable on the Redemption Date at the redemption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any redemption may, at the Issuer’s discretion, be subject to one or more conditions precedent, which shall be set forth in the related notice of redemption, including, but not limited to, completion of an Equity Offering, other offering or other transaction or event. In addition, if such redemption or purchase is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The Issuer shall provide prompt written notice to the Trustee prior to the close of business two Business Days prior to the Redemption Date rescinding such redemption and notice of redemption shall be rescinded and of no force or effect. Upon receipt of such notice from the Issuer rescinding such redemption, the Trustee shall promptly send a copy of such notice to the Holders of such series of Notes to be redeemed in the same manner in which the notice of redemption was given. The notice, if mailed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Deposit of Redemption or Purchase Price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10:00 a.m. (New York City time) on the redemption or purchase date, the Issuer shall deposit with the Trustee or with the Paying Agent money sufficient to pay the redemption or purchase price of and accrued and unpaid interest on all Notes to be redeemed or purchased on that date. The Trustee or the Paying Agent shall promptly return to the Issuer any money deposited with the Trustee or the Paying Agent by the Issuer in excess of the amounts necessary to pay the redemption price of, and accrued and unpaid interest on, all Notes to be redeemed or purchased.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complies with the provisions of the preceding paragraph, on and after the redemption or purchase date, interest shall cease to accrue on the Notes or the portions of Notes called for redemption or purchase. Redemption amounts shall only be paid upon presentation and surrender of any such Notes to be redeemed.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purchase because of the failure of the Issuer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redemption price and performance of the Issuer’s obligations in connection with any redemption may be performed by another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Notes Redeemed or Purchased in Part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surrender of a Note that is redeemed or purchased in part, the Issuer shall issue and the Trustee shall authenticate for the Holder at the expense of the Issuer a new Note equal in principal amount to the unredeemed or unpurchased portion of the Note surrendered representing the same indebtedness to the extent not redeemed or purchased;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new Note will be in a principal amount of $2,000 or an integral multiple of $1,000 in excess of $2,000.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prior to October 1, 2029, the Issuer may redeem all or a part of the Notes, upon prior notice as provided in Section 3.03, at a redemption price equal to 100% of the principal amount of the Notes redeemed plus the Applicable Premium as of, and accrued and unpaid interest, if any, to the date of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subject to the rights of Holders of Notes on the relevant Record Date to receive interest due on the relevant Interest Payment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and after October 1, 2029, the Issuer may redeem the Notes, in whole or in part, upon prior notice as provided in Section 3.03, at the redemption prices (expressed as percentages of principal amount of the Notes to be redeemed) set forth below, plus accrued and unpaid interest, if any, thereon to the applicable Redemption Date, subject to the right of Holders of Notes of record on the relevant Record Date to receive interest due on the relevant Interest Payment Date, if redeemed during the twelve-month period beginning on October 1 of each of the years indicated below:</w:t>
      </w:r>
    </w:p>
    <w:p>
      <w:pPr>
        <w:pStyle w:val="TextBody"/>
        <w:bidi w:val="0"/>
        <w:spacing w:before="0" w:after="0"/>
        <w:ind w:left="0" w:right="0" w:firstLine="1440"/>
        <w:jc w:val="left"/>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3050"/>
        <w:gridCol w:w="60"/>
        <w:gridCol w:w="1220"/>
      </w:tblGrid>
      <w:tr>
        <w:trPr/>
        <w:tc>
          <w:tcPr>
            <w:tcW w:w="3050" w:type="dxa"/>
            <w:tcBorders>
              <w:bottom w:val="single" w:sz="2" w:space="0" w:color="000000"/>
            </w:tcBorders>
            <w:vAlign w:val="center"/>
          </w:tcPr>
          <w:p>
            <w:pPr>
              <w:pStyle w:val="TableContents"/>
              <w:bidi w:val="0"/>
              <w:spacing w:before="0" w:after="283"/>
              <w:jc w:val="left"/>
              <w:rPr/>
            </w:pPr>
            <w:r>
              <w:rPr>
                <w:b/>
              </w:rPr>
              <w:t>On and after</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center"/>
              <w:rPr/>
            </w:pPr>
            <w:r>
              <w:rPr>
                <w:b/>
              </w:rPr>
              <w:t>Percentage</w:t>
            </w:r>
            <w:r>
              <w:rPr/>
              <w:t xml:space="preserve"> </w:t>
            </w:r>
          </w:p>
        </w:tc>
      </w:tr>
      <w:tr>
        <w:trPr/>
        <w:tc>
          <w:tcPr>
            <w:tcW w:w="3050" w:type="dxa"/>
            <w:tcBorders/>
            <w:shd w:fill="E5FFFF" w:val="clear"/>
            <w:tcMar>
              <w:bottom w:w="0" w:type="dxa"/>
            </w:tcMar>
            <w:vAlign w:val="center"/>
          </w:tcPr>
          <w:p>
            <w:pPr>
              <w:pStyle w:val="TableContents"/>
              <w:bidi w:val="0"/>
              <w:spacing w:before="0" w:after="283"/>
              <w:jc w:val="left"/>
              <w:rPr/>
            </w:pPr>
            <w:r>
              <w:rPr/>
              <w:t>October 1, 2029 </w:t>
            </w:r>
          </w:p>
        </w:tc>
        <w:tc>
          <w:tcPr>
            <w:tcW w:w="60" w:type="dxa"/>
            <w:tcBorders/>
            <w:shd w:fill="E5FFFF" w:val="clear"/>
            <w:tcMar>
              <w:bottom w:w="0" w:type="dxa"/>
            </w:tcMar>
            <w:vAlign w:val="center"/>
          </w:tcPr>
          <w:p>
            <w:pPr>
              <w:pStyle w:val="TableContents"/>
              <w:bidi w:val="0"/>
              <w:spacing w:before="0" w:after="283"/>
              <w:jc w:val="left"/>
              <w:rPr/>
            </w:pPr>
            <w:r>
              <w:rPr/>
              <w:t> </w:t>
            </w:r>
          </w:p>
        </w:tc>
        <w:tc>
          <w:tcPr>
            <w:tcW w:w="1220" w:type="dxa"/>
            <w:tcBorders/>
            <w:shd w:fill="E5FFFF" w:val="clear"/>
            <w:tcMar>
              <w:bottom w:w="0" w:type="dxa"/>
            </w:tcMar>
            <w:vAlign w:val="center"/>
          </w:tcPr>
          <w:p>
            <w:pPr>
              <w:pStyle w:val="TableContents"/>
              <w:bidi w:val="0"/>
              <w:spacing w:before="0" w:after="283"/>
              <w:jc w:val="right"/>
              <w:rPr/>
            </w:pPr>
            <w:r>
              <w:rPr/>
              <w:t>103.125%</w:t>
            </w:r>
          </w:p>
        </w:tc>
      </w:tr>
      <w:tr>
        <w:trPr/>
        <w:tc>
          <w:tcPr>
            <w:tcW w:w="3050" w:type="dxa"/>
            <w:tcBorders/>
            <w:shd w:fill="FFFFFF" w:val="clear"/>
            <w:tcMar>
              <w:bottom w:w="0" w:type="dxa"/>
            </w:tcMar>
            <w:vAlign w:val="center"/>
          </w:tcPr>
          <w:p>
            <w:pPr>
              <w:pStyle w:val="TableContents"/>
              <w:bidi w:val="0"/>
              <w:spacing w:before="0" w:after="283"/>
              <w:jc w:val="left"/>
              <w:rPr/>
            </w:pPr>
            <w:r>
              <w:rPr/>
              <w:t>October 1, 2030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101.563%</w:t>
            </w:r>
          </w:p>
        </w:tc>
      </w:tr>
      <w:tr>
        <w:trPr/>
        <w:tc>
          <w:tcPr>
            <w:tcW w:w="3050" w:type="dxa"/>
            <w:tcBorders/>
            <w:shd w:fill="E5FFFF" w:val="clear"/>
            <w:tcMar>
              <w:bottom w:w="0" w:type="dxa"/>
            </w:tcMar>
            <w:vAlign w:val="center"/>
          </w:tcPr>
          <w:p>
            <w:pPr>
              <w:pStyle w:val="TableContents"/>
              <w:bidi w:val="0"/>
              <w:spacing w:before="0" w:after="283"/>
              <w:jc w:val="left"/>
              <w:rPr/>
            </w:pPr>
            <w:r>
              <w:rPr/>
              <w:t>October 1, 2031 and thereafter  </w:t>
            </w:r>
          </w:p>
        </w:tc>
        <w:tc>
          <w:tcPr>
            <w:tcW w:w="60" w:type="dxa"/>
            <w:tcBorders/>
            <w:shd w:fill="E5FFFF" w:val="clear"/>
            <w:tcMar>
              <w:bottom w:w="0" w:type="dxa"/>
            </w:tcMar>
            <w:vAlign w:val="center"/>
          </w:tcPr>
          <w:p>
            <w:pPr>
              <w:pStyle w:val="TableContents"/>
              <w:bidi w:val="0"/>
              <w:spacing w:before="0" w:after="283"/>
              <w:jc w:val="left"/>
              <w:rPr/>
            </w:pPr>
            <w:r>
              <w:rPr/>
              <w:t> </w:t>
            </w:r>
          </w:p>
        </w:tc>
        <w:tc>
          <w:tcPr>
            <w:tcW w:w="1220" w:type="dxa"/>
            <w:tcBorders/>
            <w:shd w:fill="E5FFFF" w:val="clear"/>
            <w:tcMar>
              <w:bottom w:w="0" w:type="dxa"/>
            </w:tcMar>
            <w:vAlign w:val="center"/>
          </w:tcPr>
          <w:p>
            <w:pPr>
              <w:pStyle w:val="TableContents"/>
              <w:bidi w:val="0"/>
              <w:spacing w:before="0" w:after="283"/>
              <w:jc w:val="right"/>
              <w:rPr/>
            </w:pPr>
            <w:r>
              <w:rPr/>
              <w:t>100.000%</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Until October 1, 2029, the Issuer may, at its option, on one or more occasions, redeem up to 40% of the aggregate principal amount of Notes at a redemption price equal to 106.250% of the aggregate principal amount thereof, plus accrued and unpaid interest, if any, to the applicable Redemption Date, subject to the right of Holders of Notes of record on the relevant record date to receive interest due on the relevant interest payment date, with the net cash proceeds of one or more Equity Offerings;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least 60% of the sum of the original aggregate principal amount of Notes issued under this Indenture and the original principal amount of any Additional Notes issued under this Indenture after the Issue Date remains outstanding immediately after the occurrence of each such redemption;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each such redemption occurs within 90 days of the date of closing of each such Equity Offering.</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be required to make mandatory redemption or sinking fund payments with respect to the Notes. However, the Issuer may at any time and from time to time purchase Notes in the open market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Offers To Repurchase by Application of Excess Proceeds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pursuant to Section 4.10 hereof, the Issuer shall be required to commence an Asset Sale Offer, it shall follow the procedures specified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Asset Sale Offer shall remain open for a period of 20 Business Days following its commencement and no longer, except to the extent that a longer period is required by applicable law (the “</w:t>
      </w:r>
      <w:r>
        <w:rPr>
          <w:rFonts w:ascii="Times New Roman;Times;Serif" w:hAnsi="Times New Roman;Times;Serif"/>
          <w:b w:val="false"/>
          <w:i w:val="false"/>
          <w:caps w:val="false"/>
          <w:smallCaps w:val="false"/>
          <w:sz w:val="20"/>
          <w:u w:val="single"/>
        </w:rPr>
        <w:t>Offer Period</w:t>
      </w:r>
      <w:r>
        <w:rPr>
          <w:rFonts w:ascii="Times New Roman;Times;Serif" w:hAnsi="Times New Roman;Times;Serif"/>
          <w:b w:val="false"/>
          <w:i w:val="false"/>
          <w:caps w:val="false"/>
          <w:smallCaps w:val="false"/>
          <w:sz w:val="20"/>
        </w:rPr>
        <w:t>”). No later than five Business Days after the termination of the Offer Period (the “</w:t>
      </w:r>
      <w:r>
        <w:rPr>
          <w:rFonts w:ascii="Times New Roman;Times;Serif" w:hAnsi="Times New Roman;Times;Serif"/>
          <w:b w:val="false"/>
          <w:i w:val="false"/>
          <w:caps w:val="false"/>
          <w:smallCaps w:val="false"/>
          <w:sz w:val="20"/>
          <w:u w:val="single"/>
        </w:rPr>
        <w:t>Purchase Date</w:t>
      </w:r>
      <w:r>
        <w:rPr>
          <w:rFonts w:ascii="Times New Roman;Times;Serif" w:hAnsi="Times New Roman;Times;Serif"/>
          <w:b w:val="false"/>
          <w:i w:val="false"/>
          <w:caps w:val="false"/>
          <w:smallCaps w:val="false"/>
          <w:sz w:val="20"/>
        </w:rPr>
        <w:t>”), the Issuer shall apply all Excess Proceeds (the “</w:t>
      </w:r>
      <w:r>
        <w:rPr>
          <w:rFonts w:ascii="Times New Roman;Times;Serif" w:hAnsi="Times New Roman;Times;Serif"/>
          <w:b w:val="false"/>
          <w:i w:val="false"/>
          <w:caps w:val="false"/>
          <w:smallCaps w:val="false"/>
          <w:sz w:val="20"/>
          <w:u w:val="single"/>
        </w:rPr>
        <w:t>Offer Amount</w:t>
      </w:r>
      <w:r>
        <w:rPr>
          <w:rFonts w:ascii="Times New Roman;Times;Serif" w:hAnsi="Times New Roman;Times;Serif"/>
          <w:b w:val="false"/>
          <w:i w:val="false"/>
          <w:caps w:val="false"/>
          <w:smallCaps w:val="false"/>
          <w:sz w:val="20"/>
        </w:rPr>
        <w:t xml:space="preserve">”) to the purchase of Notes and, if required, Pari Passu Indebtedness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if applicable), or, if less than the Offer Amount has been tendered, all Notes and Pari Passu Indebtedness tendered in response to the Asset Sale Offer. Payment for any Notes so purchased shall be made in the same manner as interest payments are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Purchase Date is on or after a Record Date and on or before the related Interest Payment Date, any accrued and unpaid interest up to but excluding the Purchase Date, shall be paid to the Person in whose name a Note is registered at the close of business on such Record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commencement of an Asset Sale Offer, the Issuer shall send, by first-class mail, a notice to each of the Holders, with a copy to the Trustee. The notice shall contain all instructions and materials necessary to enable such Holders to tender Notes pursuant to the Asset Sale Offer. The Asset Sale Offer shall be made to all Holders and, if required, holders of Pari Passu Indebtedness. The notice, which shall govern the terms of the Asset Sale Offer, shall state: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Asset Sale Offer is being made pursuant to this Section 3.09 and Section 4.10 hereof and the length of time the Asset Sale Offer shall remain open;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Offer Amount, the purchase price and the Purchase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Note not tendered or accepted for payment shall continue to accrue interest;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unless the Issuer defaults in making such payment, any Note accepted for payment pursuant to the Asset Sale Offer shall cease to accrue interest on and after the Purchase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Holders electing to have a Note purchased pursuant to an Asset Sale Offer may elect to have Notes purchased in a minimum amount of $2,000, or integral multiples of $1,000 in excess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Holders electing to have a Note purchased pursuant to any Asset Sale Offer shall be required to surrender the Note, with the form entitled “Option of Holder to Elect Purchase” attached to the Note completed, or transfer such Note by book-entry transfer, to the Issuer, the Depositary, if appointed by the Issuer, or a Paying Agent at the address specified in the notice at least three days before the Purchase Date;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that, if the aggregate principal amount of Notes and Pari Passu Indebtedness surrendered by the holders thereof exceeds the Offer Amount, the Trustee shall select the Notes and such Pari Passu Indebtedness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based on the accreted value or principal amount of the Notes or such Pari Passu Indebtedness tendered (with such adjustments as may be deemed appropriate by the Trustee so that only Notes in a minimum amount of $2,000, or integral multiples of $1,000 in excess thereof, shall be purchased);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Holders whose Notes were purchased only in part shall be issued new Notes equal in principal amount to the unpurchased portion of the Notes surrendered (or transferred by book-entry transfer) representing the same indebtedness to the extent not repurchased.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On or before the Purchase Date, the Issuer shall, to the extent lawful, (1) accept for payment,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necessary,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representing the same indebtedness to the extent not repurchased;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new Note shall be in a minimum principal amount of $2,000 or an integral multiple of $1,000 in excess thereof. Any Note not so accepted shall be promptly mailed or delivered by the Issuer to the Holder thereof. If required by applicable law, the Issuer shall publicly announce the results of the Asset Sale Offer on or as soon as practicable after the Purchase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in this Section 3.09 or Section 4.10 hereof, any purchase pursuant to this Section 3.09 shall be made pursuant to the applicable provisions of Sections 3.01 through 3.06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holds as of 10:00 a.m. New York City time on the due date money deposited by the Issuer in immediately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funds and designated for and sufficient to pay all principal, premium, if any, and interest then due. Such Paying Agent shall, upon written request by the Issuer, return to the Issuer promptly, and in any event no later than five Business Days following such request, any money that exceeds such amount of principal, premium, if any, and interest paid on the Notes. If a payment date is not a Business Day, payment may be made on the next succeeding date that is a Business Day.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(including post-petition interest in any proceeding under any Bankruptcy Law) on overdue principal at the rate equal to the then applicable interest rate on the Notes to the extent lawful; and shall pay interest (including post-petition interest in any proceeding under any Bankruptcy Law) on overdue installments of interest (without regard to any applicable grace period) at the same rate to the extent lawful.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designates the Corporate Trust Office as one such office or agency of the Issuer in accordance with Section 2.03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Reports and Other Information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Regardless of whether the Issuer remains subject to the reporting requirements of Section 13 or 15(d) of the Exchange Act or otherwise reports on an annual and quarterly basis on forms provided for such annual and quarterly reporting pursuant to rules and regulations promulgated by the SEC, the Issuer shall file with the SEC (and make available to the Trustee and, upon written request, Holders of the Notes (without exhibits) without cost to any Holder, within 15 days after it files them with the SEC) from and after the Issue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the time period specified in the SEC’s rules and regulations, annual reports on Form 10-K, or any successor or comparable form, containing the information required to be contained therein or required in such successor or comparable form;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within the time period specified in the SEC’s rules and regulations, reports on Form 10-Q containing all quarterly information that would be required to be contained in Form 10-Q or any successor or comparable form;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promptly from time to time after the occurrence of an event required to be therein reported, such other reports on Form 8-K, or any successor or comparable form;</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in a manner that complies in all material respects with the requirements specified in such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not be so obligated to file such reports with the SEC if the SEC does not permit such filing, in which event the Issuer shall make available such information to prospective purchasers of Notes, in addition to providing such information to the Trustee and the Holders of the Notes, in each case within 15 days after the time the Issuer would be required to file such information with the SEC, if it were subject to Sections 13 or 15(d) of the Exchange Act. The posting of such reports, documents and information to the SEC’s or the Issuer’s website shall constitute delivery of such reports, documents and information to the Trustee and the Holders of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shall have no responsibility to determine whether such posting has occurred. To the extent not satisfied by the foregoing, the Issuer agrees that, for so long as any Notes are outstanding, it shall furnish to Holders and to securities analysts and prospective investors, upon their written request, the information required to be delivered pursuant to Rule 144A(d)(4)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the event that any direct or indirect parent of the Issuer is or becomes a Guarantor of the Notes, the Issuer may satisfy its obligations under this covenant with respect to financial information relating to the Issuer by furnishing financial information relating to such direct or indirect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same is accompanied by consolidating information that explains in reasonable detail the differences between the information relating to such direct or indirect parent and any of its Subsidiaries other than the Issuer and its Subsidiaries, on the one hand, and the information relating to the Issuer, the Guarantors and the other Subsidiaries of the Issuer on a standalone basis, on the other hand.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deliver to the Trustee, within 120 days after the end of each fiscal year ending after the Issue Date, a certificate from the principal executive officer, principal financial officer or principal accounting officer stating that a review of the activities of the Issuer and the Restricted Subsidiaries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during such fiscal year,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Issuer is taking or proposes to take with respect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within 60 days after the Issuer becomes aware of any Default, deliver to the Trustee by registered or certified mail or by facsimile transmission an Officer’s Certificate specifying such Default and what action the Issuer proposes to take with respect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pay or discharge, and shall cause each of the Restricted Subsidiaries to pay or discharge, prior to delinquency, all material taxes, lawful assessments, and governmental levies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such as are being contested in good faith and by appropriate actions or where the failure to effect such payment or discharge is not adverse in any material respect to the Holders of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Limitation on Investments in Unrestricted Subsidiaries</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and shall not permit any of its Restricted Subsidiaries to, directly or indirectly, make any Investments in Unrestricted Subsidiaries other than Permitted Investments.</w:t>
      </w:r>
    </w:p>
    <w:p>
      <w:pPr>
        <w:pStyle w:val="TextBody"/>
        <w:bidi w:val="0"/>
        <w:spacing w:before="0" w:after="0"/>
        <w:ind w:left="0" w:right="0" w:firstLine="153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Dividend and Other Payment Restrictions Affecting Restricted Subsidiaries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its Restricted Subsidiaries to, directly or indirectly, create or otherwise cause or suffer to exist or become effective any consensual encumbrance or consensual restriction on the ability of any such Restricted Subsidiary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pay dividends or make any other distributions to the Issuer or any of the Restricted Subsidiaries on its Capital Stock or with respect to any other interest or participation in, or measured by, its profits,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 any Indebtedness owed to the Issuer or any of the Restricted Subsidiaries;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make loans or advances to the Issuer or any of the Restricted Subsidiaries;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sell, lease or transfer any of its properties or assets to the Issuer or any of the Restricted Subsidiaries.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(in each case) for such encumbrances or restrictions existing under or by reason 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contractual encumbrances or restrictions in effect on the Issue Date, including pursuant to the Credit Facilities and the related documentation;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Indenture and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purchase money obligations and capital lease obligations for property acquired in the ordinary course of business that impose restrictions of the nature discussed in clause (3) of Section 4.08(a) hereof on the property so acquired;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applicable law or any applicable rule, regulation or order;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any agreement or other instrument of a Person acquired by the Issuer or any of its Restricted Subsidiaries in existence at the time of such acquisition (but not created in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contemplation thereof), which encumbrance or restriction is not applicable to any Person, or the properties or assets of any Person, other than the Person and its Subsidiaries, or the property or assets of the Person and its Subsidiaries, so acquired;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contracts for the sale of assets, including customary restrictions with respect to a Subsidiary of the Issuer pursuant to an agreement that has been entered into for the sale or disposition of all or substantially all of the Capital Stock or assets of such Subsidiary, that impose restrictions on the assets to be sold;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Secured Indebtedness otherwise permitted to be incurred pursuant to Section 4.09 hereof and Section 4.12 hereof that limit the right of the debtor to dispose of the assets securing such Indebtedness or place any restriction on the Issuer’s or its Restricted Subsidiaries’ use of the assets securing such Secured Indebtedness;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restrictions on cash or other deposits or net worth imposed by customers under contracts entered into in the ordinary course of business;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Indebtedness, Disqualified Stock or Preferred Stock of Foreign Subsidiaries permitted to be incurred subsequent to the Issue Date pursuant to the provisions of Section 4.09 hereof that impose restrictions solely on Foreign Subsidiaries party thereto;</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customary provisions in joint venture agreements and other similar agreements relating solely to such joint venture;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customary provisions contained in leases or licenses of intellectual property and other agreements, in each case, entered into in the ordinary course of business;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contractual requirements of a Receivables Subsidiary in connection with a Qualified Receivables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apply only to such Receivables Subsidiary or the receivables that are subject to the Qualified Receivables Financing;</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protective Liens filed in connection with a sale and leaseback transaction permitted under this Indenture;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restrictions in effect on the Issue Date that are contained in charter documents or shareholder agreements relating to any Restricted Subsidiary of the Issuer;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other agreement governing Indebtedness entered into after the Issue Date that contains encumbrances and restrictions that are not materially more restrictive with respect to the Issuer or any Restricted Subsidiary than those in effect on the Issue Date pursuant to agreements in effect on the Issue Date;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any encumbrances or restrictions of the type referred to in clauses (1), (2) and (3) of Section 4.08(a) hereof imposed by any amendments, modifications, restatements, renewals, increases, supplements, refundings, replacements or refinancings of the contracts, instruments or obligations referred to in clauses (1) through (15) of this Section 4.08(b);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amendments, modifications, restatements, renewals, increases, supplements, refundings, replacements or refinancings are, in the good faith judgment of the Issuer, not materially more restrictive with respect to such encumbrance and other restrictions taken as a whole than those prior to such amendment, modification, restatement, renewal, increase, supplement, refunding, replacement or refinancing.</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Limitation on Incurrence of Indebtedness and Issuance of Disqualified Stock and Preferred Stock</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the Restricted Subsidiaries to, directly or indirectly, create, incur, issue, assume, guarantee or otherwise become directly or indirectly liable, contingently or otherwise (collectively, “</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and collectively, an “</w:t>
      </w:r>
      <w:r>
        <w:rPr>
          <w:rFonts w:ascii="Times New Roman;Times;Serif" w:hAnsi="Times New Roman;Times;Serif"/>
          <w:b w:val="false"/>
          <w:i w:val="false"/>
          <w:caps w:val="false"/>
          <w:smallCaps w:val="false"/>
          <w:sz w:val="20"/>
          <w:u w:val="single"/>
        </w:rPr>
        <w:t>incurrence</w:t>
      </w:r>
      <w:r>
        <w:rPr>
          <w:rFonts w:ascii="Times New Roman;Times;Serif" w:hAnsi="Times New Roman;Times;Serif"/>
          <w:b w:val="false"/>
          <w:i w:val="false"/>
          <w:caps w:val="false"/>
          <w:smallCaps w:val="false"/>
          <w:sz w:val="20"/>
        </w:rPr>
        <w:t xml:space="preserve">”) with respect to any Indebtedness (including Acquired Indebtedness) and the Issuer shall not issue any shares of Disqualified Stock and shall not permit any Restricted Subsidiary to issue any shares of Disqualified Stock or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Issuer may incur Indebtedness (including Acquired Indebtedness) or issue shares of Disqualified Stock, and any Guarantor may incur Indebtedness (including Acquired Indebtedness), issue shares of Disqualified Stock and issue shares of Preferred Stock, if the Fixed Charge Coverage Ratio on a consolidated basis for the Issuer and its Restricted Subsidiaries’ most recently ended four fiscal quarters for which internal financial statements are available immediately preceding the date on which such additional Indebtedness is incurred or such Disqualified Stock or Preferred Stock is issued would have been at least 2.00 to 1.00, determined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(including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4.09(a) hereof shall not apply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incurrence of Indebtedness under Credit Facilities by the Issuer or any of its Restricted Subsidiaries and the issuance and creation of letters of credit and bankers’ acceptances thereunder (with letters of credit and bankers’ acceptances being deemed to have a principal amount equal to the face amount thereof), up to an aggregate principal amount outstanding at one time not to exceed the sum of (x) $500.0 million, (y) $500.0 million and (z) an additional amount such that at the time of the incurrence of such Indebtedness and after giving pro forma effect thereto, the Secured Leverage Ratio would not exceed 4.00 to 1.00 (provided that any such Indebtedness incurred in reliance on this clause (z) will be deemed secured at all times it is outstanding for purposes of calculating the Secured Leverage Ratio);</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incurrence by the Issuer and any Guarantor of Indebtedness represented by the Initial Notes (including any Guarantee of the Initial Notes) and any related Guarantee issued in respect of the Initial Notes (other than any Additional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Indebtedness of the Issuer and its Restricted Subsidiaries in existence on the Issue Date (other than Indebtedness described in clauses (1) and (2) of this Section 4.09(b));</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Indebtedness (including Capitalized Lease Obligations), Disqualified Stock and Preferred Stock incurred by the Issuer or any of its Restricted Subsidiaries to finance the purchase, lease, construction, installation, repair or improvement of property (real or personal) or equipment (other than software) (including any reasonably related fees or expenses incurred in connection with such purchase, lease, construction, installation, repair or improvement), whether through the direct purchase of assets or the Capital Stock of any Person owning such assets, in an aggregate principal amount, including all Indebtedness incurred or Disqualified Stock and Preferred Stock issued to renew, refund, refinance, replace, defease or discharge any Indebtedness incurred or Disqualified Stock and Preferred Stock issued pursuant to this clause (4), not to exceed at any time outstanding the greater of (x) $100.0 million and (y) 20.0% of EBITDA of the Issuer and its Restricted Subsidiaries for the most recently ended four fiscal quarters ending immediately prior to such date for which internal financial statements are available;;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Indebtedness incurred by the Issuer or any of its Restricted Subsidiaries constituting reimbursement obligations with respect to letters of credit issued in the ordinary course of business, including letters of credit in respect of lease obligations, workers’ compensation claims, unemployment insurance and other types of social security or property, casualty or liability insurance or self-insurance, or other Indebtedness with respect to reimbursement type obligations regarding workers’ compensation claims;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drawing of such letters of credit, such obligations are reimbursed within 30 days following such drawing;</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Indebtedness arising from agreements of the Issuer or its Restricted Subsidiaries providing for indemnification, adjustment of purchase price or similar obligations, or guarantees or letters of credit, surety bonds or performance bonds securing any obligations of the Issuer or any Restricted Subsidiary pursuant to such agreements,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maximum assumable liability in respect of all such Indebtedness shall at no time exceed the gross proceeds including non-cash proceeds (the fair market value of such non cash proceeds being measured at the time received and without giving effect to any subsequent changes in value) actually received by the Issuer and its Restricted Subsidiaries in connection with such disposition;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Indebtedness of the Issuer to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owing to a Restricted Subsidiary that is not a Guarantor is expressly subordinated in right of payment to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subsequent issuance or transfer of any Capital Stock or any other event which results in any such other Restricted Subsidiary ceasing to be a Restricted Subsidiary or any other subsequent transfer of any such Indebtedness (except to the Issuer or another Restricted Subsidiary or any pledge of such Indebtedness constituting a Permitted Lien) shall be deemed, in each case, to be an incurrence of such Indebtedness not permitted by this clause (7);</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Indebtedness of a Restricted Subsidiary to the Issuer or another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Guarantor incurs such Indebtedness to a Restricted Subsidiary that is not a Guarantor, such Indebtedness is expressly subordinated in right of payment to the Guarantee of the Notes of such Guarantor;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subsequent issuance or transfer of any Capital Stock or any other event which results in any such other Restricted Subsidiary ceasing to be a Restricted Subsidiary or any subsequent transfer of any such Indebtedness (except to the Issuer or another Restricted Subsidiary or any pledge of such Indebtedness constituting a Permitted Lien) shall be deemed, in each case, to be an incurrence of such Indebtedness not permitted by this clause (8);</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shares of Preferred Stock of a Restricted Subsidiary issued to the Issuer or another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subsequent issuance or transfer of any Capital Stock or any other event which results in any such other Restricted Subsidiary ceasing to be a Restricted Subsidiary or any other subsequent transfer of any such shares of Preferred Stock (except to the Issuer or another of its Restricted Subsidiaries) shall be deemed in each case to be an issuance of such shares of Preferred Stock not permitted by this clause (9);</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Hedging Obligations (excluding Hedging Obligations entered into for speculative purposes) for the purpose of limiting interest rate risk exchange rate risk or commodity pricing risk;</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obligations in respect of performance, bid, appeal and surety bonds and completion guarantees provided by the Issuer or any of its Restricted Subsidiaries in the ordinary course of business;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Indebtedness or Disqualified Stock of the Issuer or any Restricted Subsidiary in an aggregate principal amount or liquidation preference up to 100% of the net cash proceeds received by the Issuer since immediately after the Issue Date from the issue or sale of Equity Interests of the Issuer or cash contributed to the capital of the Issuer (in each case, other than proceeds of Disqualified Stock or sales of Equity Interests to the Issuer or any of its Subsidiaries) and (b) Indebtedness or Disqualified Stock of the Issuer and Indebtedness, Disqualified Stock or Preferred Stock of the Issuer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(12)(b), does not at any one time outstanding exceed the greater of (x) $200.0 million and (y) 40.0% of EBITDA of the Issuer and its Restricted Subsidiaries for the most recently ended four fiscal quarters ending immediately prior to such date for which internal financial statements are available;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incurrence by the Issuer or any Restricted Subsidiary of the Issuer of Indebtedness, Disqualified Stock or Preferred Stock which serves to refund, replace or refinance any Indebtedness, Disqualified Stock or Preferred Stock incurred as permitted under Section 4.09(a) hereof and clauses (2), (3), (12)(a), this clause (13) and clauses (14) and (15) of this Section 4.09(b) or any Indebtedness, Disqualified Stock or Preferred Stock issued, to so refund, replace or refinance such Indebtedness, Disqualified Stock or Preferred Stock including additional Indebtedness, Disqualified Stock or Preferred Stock incurred to pay premiums (including reasonable tender premiums), defeasance costs and fees in connection therewith (the “</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xml:space="preserve">”) prior to its respective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Refinancing Indebtedness: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a Weighted Average Life to Maturity at the time such Refinancing Indebtedness is incurred which is not less than the remaining Weighted Average Life to Maturity of the Indebtedness, Disqualified Stock or Preferred Stock being refunded or refinanced,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such Refinancing Indebtedness refinances (i) Indebtedness subordinated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to the Notes or any Guarantee thereof, such Refinancing Indebtedness is subordinated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to the Notes or the Guarantee at least to the same extent as the Indebtedness being refinanced or refunded, or (ii) Disqualified Stock or Preferred Stock, such Refinancing Indebtedness must be Disqualified Stock or Preferred Stock, respectively,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include: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Indebtedness, Disqualified Stock or Preferred Stock of a Subsidiary of the Issuer that is not a Guarantor that refinances Indebtedness, Disqualified Stock or Preferred Stock of the Issuer;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Indebtedness, Disqualified Stock or Preferred Stock of a Subsidiary of the Issuer, that is not a Guarantor that refinances Indebtedness, Disqualified Stock or Preferred Stock of a Guarantor;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Indebtedness, Disqualified Stock or Preferred Stock of the Issuer or a Restricted Subsidiary that refinances Indebtedness, Disqualified Stock or Preferred Stock of an Unrestricted Subsidiary;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incurrence by the Issuer or any Restricted Subsidiary of Indebtedness to the extent the net cash proceeds of such Indebtedness are promptly deposited to defease or to satisfy and discharge the Notes as described under Article VIII and Section 11.01;</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Indebtedness, Disqualified Stock or Preferred Stock of (x) the Issuer or a Guarantor incurred to finance an acquisition or (y) Persons that are acquired by the Issuer or any Guarantor or merged into the Issuer or a Guarantor in accordance with the terms of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acquisition or merger, either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would be permitted to incur at least $1.00 of additional Indebtedness pursuant to the Fixed Charge Coverage Ratio test set forth in the first sentence of this covenant,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Fixed Charge Coverage Ratio of the Issuer and the Restricted Subsidiaries is greater than immediately prior to such acquisition or merger;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Indebtedness arising from the honoring by a bank or other financial institution of a check, draft or similar instrument drawn against insufficient funds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is extinguished within five Business Days of its incurrence;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 any guarantee by the Issuer or a Restricted Subsidiary of Indebtedness or other obligations of any Restricted Subsidiary so long as the incurrence of such Indebtedness incurred by such Restricted Subsidiary is permitted under the terms of this Indenture;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guarantee by a Restricted Subsidiary of Indebtedness of the Issuer;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clauses (a) and (b), such guarantee is incurred in accordance with Section 4.15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Indebtedness of Foreign Subsidiaries of the Issuer not to exceed at any one time outstanding, together with any other Indebtedness incurred under this clause (18), $200.0 million;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Indebtedness of the Issuer or any of its Restricted Subsidiaries consisting of (i) the financing of insurance premiums or (ii) take-or-pay obligations contained in supply arrangements, in each case, incurred in the ordinary course of business;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Indebtedness incurred by a Receivables Subsidiary in a Qualified Receivables Financing that is not recourse to the Issuer or any Restricted Subsidiary other than a Receivables Subsidiary (except for Standard Securitization Undertakings);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customer deposits and advance payments received from customers for goods and services sold in the ordinary course of business;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Indebtedness owed on a short-term basis of not longer than 30 days to banks and other financial institutions incurred in the ordinary course of business of the Issuer and its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Subsidiaries with such banks or financial institutions in connection with ordinary banking arrangements to manage cash balances of the Issuer and its Restricted Subsidiaries;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Indebtedness incurred by a Restricted Subsidiary in connection with bankers’ acceptances, discounted bills of exchange or the discounting or factoring of receivables for credit management purposes, in each case incurred or undertaken in the ordinary course of business on arm’s-length commercial terms;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direct or indirect loans or advances to the Issuer’s Employee Stock Ownership Plan or guarantee obligations incurred in connection with its purchase or other acquisition of Equity Interests of the Issuer not to exceed at any time outstanding the greater of (x) $75.0 million and (y) 15.0% of EBITDA of the Issuer and its Restricted Subsidiaries for the most recently ended four fiscal quarters ending immediately prior to such date for which internal financial statements are available.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compliance with this Section 4.09: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the event that an item of Indebtedness, Disqualified Stock or Preferred Stock (or any portion thereof) meets the criteria of more than one of the categories of permitted Indebtedness, Disqualified Stock or Preferred Stock described in clauses (1) through (24) of Section 4.09(b) hereof or is entitled to be incurred pursuant to Section 4.09(a) hereof, the Issuer, in its sole discretion, shall classify or reclassify such item of Indebtedness, Disqualified Stock or Preferred Stock (or any portion thereof) and shall only be required to include the amount and type of such Indebtedness, Disqualified Stock or Preferred Stock in one of the above clauses;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Indebtedness outstanding under the Senior Credit Facility on the Issue Date shall at all times be deemed to be outstanding in reliance on clause (1)(x) of Section 4.09(b) hereof;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the time of incurrence, the Issuer shall be entitled to divide and classify an item of Indebtedness in more than one of the types of Indebtedness described in Sections 4.09(a) and 4.09(b) 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Accrual of interest, the accretion of accreted value, the amortization of original issue discount, and the payment of interest or dividends in the form of additional Indebtedness, Disqualified Stock or Preferred Stock, as applicable,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covenant. Guarantees of, or obligations in respect of letters of credit relating to, Indebtedness that are otherwise included in the determination of a particular amount of Indebtedness shall not be included in the determination of such amount of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incurrence of the Indebtedness represented by such guarantee or letter of credit, as the case may be, was in compliance with this covenant.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Indebtedness being refinanced plus the amount of any reasonable premium (including reasonable tender premiums), defeasance costs and any reasonable fees and expenses incurred in connection with the issuance of such new Indebtedness.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not, and shall not permit any Guarantor to, directly or indirectly, incur any Indebtedness (including Acquired Indebtedness) that is subordinated or junior in right of payment to any Indebtedness of the Issuer or such Guarantor, as the case may be, unless such Indebtedness is expressly subordinated in right of payment to the Notes or such Guarantor’s Guarantee to the extent and in the same manner as such Indebtedness is subordinated to other Indebtedness of the Issuer or such Guarantor, as the case may be.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Indenture (1) unsecured Indebtedness is not deemed to be subordinated or junior to Secured Indebtedness merely because it is unsecured or (2) Indebtedness is not deemed to be subordinated or junior to any other Indebtedness merely because it has a junior priority with respect to the same collateral.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the Restricted Subsidiaries to, cause, make or suffer to exist an Asset Sale,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or such Restricted Subsidiary, as the case may be, receives consideration at the time of such Asset Sale at least equal to the fair market value of the assets or Equity Interests issued or sold or otherwise disposed of;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except in the case of a Permitted Asset Swap, at least 75% of the consideration therefor received by the Issuer or such Restricted Subsidiary, as the case may be, is in the form of (a) cash or Cash Equivalents (b) Replacement Assets or (c) any combination of the consideration specified in clauses (a) and (b);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(as shown on the Issuer’s or such Restricted Subsidiary’s most recent balance sheet or in the footnotes thereto) of the Issuer or such Restricted Subsidiary, other than liabilities that are by their terms subordinated to the Notes, that are assumed by the transferee of any such assets and for which the Issuer and all of its Restricted Subsidiaries have been validly released by all creditors in writing;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securities, notes or other obligations received by the Issuer or such Restricted Subsidiary from such transferee that are converted by the Issuer or such Restricted Subsidiary into cash or Cash Equivalents (to the extent of the cash or Cash Equivalents received) within 180 days following the closing of such Asset Sale;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Designated Non-cash Consideration received by the Issuer or any of its Restricted Subsidiaries in such Asset Sale having an aggregate fair market value, taken together with all other Designated Non-cash Consideration received since the date of this Indenture pursuant to this clause (C) that is at that time outstanding, not to exceed the greater of (i) $100.0 million (with the fair market value of each item of Designated Non-cash Consideration being measured at the time received and without giving effect to subsequent changes in value) and (ii) 5.0% of Total Assets at the time of the receipt of such Designated Non-cash Consideration;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securities publicly-traded on a national securities exchange;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to be cash or Cash Equivalents for purposes of this provision and for no other purpose.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450 days after the receipt of any Net Proceeds of any Asset Sale, the Issuer or such Restricted Subsidiary, at its option, may apply the Net Proceeds from such Asset Sale,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permanently reduce: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Secured Indebtedness under one or more Credit Facilities;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Obligations under Pari Passu Indebtedness (and to correspondingly reduce commitments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equally and ratably (based on the aggregate principal amounts (or accreted value, as applicable )) reduce Obligations under the Notes as provided under Section 3.07 hereof, through open-market purchases (to the extent such purchases are at or above 100% of the principal amount thereof) or by making an offer (in accordance with the procedures set forth under Section 4.10(c) hereof) to all Holders to purchase their Notes at 100% of the principal amount thereof, plus the amount of accrued but unpaid interest, if any, on the amount of Notes that would otherwise be prepaid;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of a Restricted Subsidiary that is not a Guarantor, other than Indebtedness owed to the Issuer or another Restricted Subsidiary;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make an Investment in or expenditure (i) for Replacement Assets or (ii) for other capital expenditure used or useful in a Similar Business or (iii) to enter into a binding commitment to make such an investment or expenditure;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commitment to make such an Investment or expenditure, such Investment or expenditure shall have been made within 365 days of the first anniversary of the receipt of any Net Proceeds from such Asset Sale;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make an Asset Sale Offer;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combination of the foregoing.</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Net Proceeds from the Asset Sale that are not invested or applied as provided and within the time period set forth in Section 4.10(b) shall be deemed to constitute “</w:t>
      </w:r>
      <w:r>
        <w:rPr>
          <w:rFonts w:ascii="Times New Roman;Times;Serif" w:hAnsi="Times New Roman;Times;Serif"/>
          <w:b w:val="false"/>
          <w:i w:val="false"/>
          <w:caps w:val="false"/>
          <w:smallCaps w:val="false"/>
          <w:sz w:val="20"/>
          <w:u w:val="single"/>
        </w:rPr>
        <w:t>Excess Proceeds</w:t>
      </w:r>
      <w:r>
        <w:rPr>
          <w:rFonts w:ascii="Times New Roman;Times;Serif" w:hAnsi="Times New Roman;Times;Serif"/>
          <w:b w:val="false"/>
          <w:i w:val="false"/>
          <w:caps w:val="false"/>
          <w:smallCaps w:val="false"/>
          <w:sz w:val="20"/>
        </w:rPr>
        <w:t>.” When the aggregate amount of Excess Proceeds exceeds $150.0 million, the Issuer shall make an offer to all Holders, and, if required by the terms of any Pari Passu Indebtedness, to the holders of such Pari Passu Indebtedness (an “</w:t>
      </w:r>
      <w:r>
        <w:rPr>
          <w:rFonts w:ascii="Times New Roman;Times;Serif" w:hAnsi="Times New Roman;Times;Serif"/>
          <w:b w:val="false"/>
          <w:i w:val="false"/>
          <w:caps w:val="false"/>
          <w:smallCaps w:val="false"/>
          <w:sz w:val="20"/>
          <w:u w:val="single"/>
        </w:rPr>
        <w:t>Asset Sale Offer</w:t>
      </w:r>
      <w:r>
        <w:rPr>
          <w:rFonts w:ascii="Times New Roman;Times;Serif" w:hAnsi="Times New Roman;Times;Serif"/>
          <w:b w:val="false"/>
          <w:i w:val="false"/>
          <w:caps w:val="false"/>
          <w:smallCaps w:val="false"/>
          <w:sz w:val="20"/>
        </w:rPr>
        <w:t>”), to purchase the maximum aggregate principal amount (or accreted value, as applicable) of the Notes and such Pari Passu Indebtedness that is a minimum amount of $2,000 and in an integral multiple of $1,000 in excess thereof that may be purchased out of the Excess Proceeds at an offer price in cash in an amount equal to 100% of the principal amount thereof (or accreted value, as applicable), plus accrued and unpaid interest, if any, to the date fixed for the closing of such offer, in accordance with the procedures set forth in this Indenture. The Issuer will commence an Asset Sale Offer with respect to Excess Proceeds within 30 calendar days after the date that Excess Proceeds exceed $150.0 million by mailing the notice required pursuant to the terms of this Indenture, with a copy to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aggregate principal amount (or accreted value, as applicable) of Notes and such Pari Passu Indebtedness tendered pursuant to an Asset Sale Offer is less than the Excess Proceeds, the Issuer may use any remaining Excess Proceeds for general corporate purposes, subject to the other covenants contained in this Indenture and they will no longer constitute Excess Proceeds. If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principal amount (or accreted value, as applicable) of Notes or the Pari Passu Indebtedness surrendered by such holders thereof exceeds the amount of Excess Proceeds, the Trustee shall select the Notes and such Pari Passu Indebtedness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(or, in the case of Notes in global form, the Trustee shall select Notes for redemption based on DTC’s method that most nearly approximates a pro rata selection or by such other method that the Trustee shall deem fair and appropriate) based on the accreted value or principal amount of the Notes or such Pari Passu Indebtedness tendered. Upon completion of any such Asset Sale Offer, the amount of Excess Proceeds shall be reset at zero.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Pending the final application of any Net Proceeds pursuant to this Section 4.10, the holder of such Net Proceeds may apply such Net Proceeds temporarily to reduce Indebtedness outstanding under a revolving credit facility or otherwise invest such Net Proceeds in any manner not prohibited by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comply with the applicable requirements of Rule 14e-1 under the Exchange Act and any other securities laws and regulations thereunder to the extent such laws or regulations are applicable in connection with the repurchase of the Notes pursuant to an Asset Sale Offer. To the extent that the applicable provisions of any securities laws or regulations conflict with the provisions of this Indenture, the Issuer shall comply with the applicable securities laws and regulations and shall not be deemed to have breached its obligations described in this Indenture by virtue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of the foregoing, an “</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involving aggregate payments or consideration in excess of $5.0 million,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Affiliate Transaction is on terms that are not materially less favorable to the Issuer or its relevant Restricted Subsidiary than those that would have been obtained in a comparable transaction by the Issuer or such Restricted Subsidiary with an unrelated Person on an arm’s-length basis;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delivers to the Trustee with respect to any Affiliate Transaction or series of related Affiliate Transactions involving aggregate payments or consideration in excess of $25.0 million, a resolution adopted by the majority of the board of directors of the Issuer approving such Affiliate Transaction and set forth in an Officer’s Certificate certifying that such Affiliate Transaction complies with clause (1) of this Section 4.11(a).</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of Section 4.11(a) hereof will not apply to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transactions between or among the Issuer or any of its Restricted Subsidiaries;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Investments constituting “Permitted Investments”;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payment of reasonable and customary fees, compensation, benefits and incentive arrangements paid or provided to, and indemnities provided on behalf of, officers, directors, employees or consultants of Issuer, any of its direct or indirect parent companies or any of its Restricted Subsidiaries, including, without limitation, any such fees, compensation, benefits,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and indemnities approved in good faith by the board of directors (or a committee thereof) of the Issuer;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agreement as in effect as of the Issue Date, or any amendment or replacement agreement thereto (so long as any such amendment is not materially disadvantageous to the Holders when taken as a whole as compared to the applicable agreement as in effect on the Issue Date);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existence of, or the performance by the Issuer or any of its Restricted Subsidiaries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existence of, or the performance by the Issuer or any of its Restricted Subsidiaries of obligations under any future amendment or replacement agreement to any such existing agreement or under any similar agreement entered into after the Issue Date shall only be permitted by this clause (5) to the extent that the terms of any such amendment or new agreement are not otherwise materially disadvantageous to the Holders when taken as a whole;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transaction effected as part of a Qualified Receivables Financing permitted hereunder;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transactions between the Issuer or any of its Restricted Subsidiaries and any Person is an Affiliate of the Issuer solely due to the fact that a director of such Person is also a director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director abstains from voting as a director of the Issuer or such direct or indirect parent of the Issuer, as the case may be, on any matter involving such other Person;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non-recourse pledge of Equity Interests of an Unrestricted Subsidiary to support the Indebtedness of such Unrestricted Subsidiary;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Transaction and the payment of all fees and expenses related to the Transaction, in each case as disclosed in the Offering Memorandum;</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transactions with customers, clients, suppliers or purchasers or sellers of goods or services, in each case in the ordinary course of business and otherwise in compliance with the terms of this Indenture which are fair to the Issuer and its Restricted Subsidiaries, in the reasonable determination of the board of directors of the Issuer or the senior management thereof, or are on terms at least as favorable as might reasonably have been obtained at such time from an unaffiliated party;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sale or issuance of Equity Interests (other than Disqualified Stock) of the Issuer;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payments or loans (or cancellation of loans) to employees or consultants of the Issuer, any of its direct or indirect parent companies or any of its Restricted Subsidiaries and employment agreements, stock option plans and other similar arrangements with such employees or consultants which, in each case, are approved by the Issuer in good faith;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transactions in which the Issuer or any Restricted Subsidiary, as the case may be, delivers to the Trustee a letter from an Independent Financial Advisor stating that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transaction is fair to the Issuer or such Restricted Subsidiary from a financial point of view or stating that the terms are not materially less favorable to the Issuer or its relevant Restricted Subsidiary than those that would have been obtained in a comparable transaction by the Issuer or such Restricted Subsidiary with an unrelated Person on an arm’s-length basis.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Restricted Subsidiary to, directly or indirectly, create, incur, assume or suffer to exist any Lien (an “</w:t>
      </w:r>
      <w:r>
        <w:rPr>
          <w:rFonts w:ascii="Times New Roman;Times;Serif" w:hAnsi="Times New Roman;Times;Serif"/>
          <w:b w:val="false"/>
          <w:i w:val="false"/>
          <w:caps w:val="false"/>
          <w:smallCaps w:val="false"/>
          <w:sz w:val="20"/>
          <w:u w:val="single"/>
        </w:rPr>
        <w:t>Initial Lien</w:t>
      </w:r>
      <w:r>
        <w:rPr>
          <w:rFonts w:ascii="Times New Roman;Times;Serif" w:hAnsi="Times New Roman;Times;Serif"/>
          <w:b w:val="false"/>
          <w:i w:val="false"/>
          <w:caps w:val="false"/>
          <w:smallCaps w:val="false"/>
          <w:sz w:val="20"/>
        </w:rPr>
        <w:t>”) (except Permitted Liens) that secures obligations under any Indebtedness or any related guarantee, on any asset or property of the Issuer or any Restricted Subsidiary, or any income or profits therefrom, or assign or convey any right to receive income therefrom,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Liens securing Subordinated Indebtedness, the Notes and related Guarantees are secured by a Lien on such property, assets or proceeds that is senior in priority to such Liens;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all other cases, the Notes or the Guarantees are equally and ratably secured, except that the foregoing shall not apply to (A) Liens securing the Notes and the related Guarantees, (B) Liens securing Indebtedness permitted to be incurred under the Credit Facilities, including any letter of credit facility relating thereto, that was permitted by the terms of this Indenture to be incurred pursuant to Section 4.09(b)(1) hereof and (C) Liens securing additional Indebtedness permitted to be incurred pursuant to Section 4.09,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this clause (C), at the time of the incurrence of such Indebtedness and after giving pro forma effect thereto, the Secured Leverage Ratio shall not exceed 3.50 to 1.00.</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holders of Notes pursuant to Section 4.12(a) hereof shall provide by its terms that such Lien shall be automatically and unconditionally released and discharged upon discharge of the Initial Lien.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V hereof, the Issuer shall do or cause to be done all things necessary to preserve and keep in full force and effect (i) its corporate existence, and the corporate, partnership or other existence of each of the Restricted Subsidiaries, in accordance with the respective organizational documents (as the same may be amended from time to time) of such Issuer or any such Restricted Subsidiary and (ii) the rights (charter and statutory), licenses and franchises of the Issuer and the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not be required to preserve any such right, license or franchise, or the corporate, partnership or other existence of any of the Restricted Subsidiaries, if the Issuer in good faith shall determine that the preservation thereof is no longer desirable in the conduct of the business of the Issuer and the Restricted Subsidiaries, taken as a whole.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Offer To Repurchase Upon Change of Control</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occurs, unless the Issuer has previously or concurrently mailed a redemption notice with respect to all the outstanding Notes as described under Section 3.07 hereof, the Issuer shall make an offer to purchase all of the Notes pursuant to the offer described below (the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xml:space="preserve">”) equal to 101% of the aggregate principal amount thereof plus accrued and unpaid interest if any, to the date of purchase, subject to the right of Holders of the Notes of record on the relevant Record Date to receive interest due on the relevant Interest Payment Date. Within 30 days following any Change of Control, the Issuer shall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notice of such Change of Control Offer by first-class mail, with a copy to the Trustee, to each Holder of Notes at the address of such Holder appearing in the security register, with the following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Offer is being made pursuant to this Section 4.14 and that all Notes properly tendered pursuant to such Change of Control Offer will be accepted for payment by the Issuer;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will be no earlier than 10 days nor later than 60 days from the date such notice is mailed (the “</w:t>
      </w:r>
      <w:r>
        <w:rPr>
          <w:rFonts w:ascii="Times New Roman;Times;Serif" w:hAnsi="Times New Roman;Times;Serif"/>
          <w:b w:val="false"/>
          <w:i w:val="false"/>
          <w:caps w:val="false"/>
          <w:smallCaps w:val="false"/>
          <w:sz w:val="20"/>
          <w:u w:val="single"/>
        </w:rPr>
        <w:t>Change of Control Payment Date</w:t>
      </w:r>
      <w:r>
        <w:rPr>
          <w:rFonts w:ascii="Times New Roman;Times;Serif" w:hAnsi="Times New Roman;Times;Serif"/>
          <w:b w:val="false"/>
          <w:i w:val="false"/>
          <w:caps w:val="false"/>
          <w:smallCaps w:val="false"/>
          <w:sz w:val="20"/>
        </w:rPr>
        <w: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properly tendered will remain outstanding and continue to accrue interest;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Issuer defaults in the payment of the Change of Control Payment, all Notes accepted for payment pursuant to the Change of Control Offer will cease to accrue interest on the Change of Control Payment Date;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prior to the close of business on the Business Day preceding the Change of Control Payment Date;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that Holders shall be entitled to withdraw their tendered Notes and their election to require the Issuer to purchase such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paying agent receives, not later than the close of business on the second Business Day prior to the Change of Control Payment Date, a facsimile transmission or letter setting forth the name of the Holder of the Notes, the principal amount of Notes tendered for purchase, and a statement that such Holder is withdrawing its tendered Notes and its election to have such Notes purchased;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if the Issuer is redeeming less than all of the Notes, the Holders of the remaining Notes will be issued new Notes and such new Notes will be equal in principal amount to the unpurchased portion of the Notes surrendered. The unpurchased portion of the Notes must be equal to $2,000 or an integral multiple of $1,000 in excess thereof;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such notice is mailed prior to the occurrence of a Change of Control, stating the Change of Control Offer is conditional on the occurrence of such Change of Control;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other instructions, as determined by the Issuer, consistent with this Section 4.14, that a Holder must follow in order to have its Notes repurchased.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comply with the applicable requirements of Rule 14e-1 under the Exchange Act and any other securities laws and regulations thereunder to the extent such laws or regulations are applicable in connection with the repurchase of Notes pursuant to a Change of Control Offer. To the extent that the applicable provisions of any securities laws or regulations conflict with the provisions of this Section 4.14, the Issuer shall comply with the applicable securities laws and regulations and shall not be deemed to have breached its obligations under this Indenture by virtue thereof.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Issuer shall, to the extent permitted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issued by it or portions thereof properly tendered pursuant to the Change of Control Offer,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aggregate Change of Control Payment in respect of all Notes or portions thereof so tendered,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not be required to make a Change of Control Offer following a Change of Control if a third party makes the Change of Control Offer in the manner, at the times and otherwise in compliance with the requirements set forth in this Section 4.14 applicable to a Change of Control Offer made by the Issuer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as specifically provided in this Section 4.14, any purchase pursuant to this Section 4.14 shall be made pursuant to the provisions of Sections 3.02, 3.05 and 3.06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Subsidiary Guarantees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Issuer or any of its Restricted Subsidiaries organizes, acquires, transfers assets to or otherwise invests in any Domestic Restricted Subsidiary (other than a Domestic Restricted Subsidiary if the Net Book Value of such Domestic Restricted Subsidiary, when taken together with the aggregate Net Book Value of all other Domestic Restricted Subsidiaries that are not Guarantors, as of such date, does not exceed in the aggregate $50.0 million), then such Domestic Restricted Subsidiary shall: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30 Business Days execute, and deliver to the Trustee, a supplemental indenture in form reasonably satisfactory to the Trustee pursuant to which such Domestic Restricted Subsidiary shall unconditionally Guarantee all of the Issuer’s obligations under the Notes and this Indenture on the terms set forth in this Indenture;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deliver to the Trustee an Officer’s Certificate and an Opinion of Counsel that such supplemental indenture has been duly authorized, executed and delivered by such Domestic Restricted Subsidiary and constitutes a legal, valid, binding and enforceable obligation of such Domestic Restricted Subsidiary.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such Domestic Restricted Subsidiary shall be a Guarantor for all purposes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(i) to the extent that the collective Net Book Value of the Issuer’s non-Guarantor Domestic Restricted Subsidiaries, as of the date of the organization, acquisition, transfer of assets to or investment in a non-Guarantor Domestic Restricted Subsidiary, exceeds $50.0 million, then, within 10 Business Days of such date, the Issuer shall cause one or more of such non-Guarantor Domestic Restricted Subsidiaries to similarly execute a supplemental indenture (and deliver the related Opinions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 pursuant to which such Domestic Restricted Subsidiary or Domestic Restricted Subsidiaries shall unconditionally Guarantee all of the Issuer’s obligations under the Notes and this Indenture, in each case, such that the collective Net Book Value of all remaining non-Guarantor Domestic Restricted Subsidiaries does not exceed $50.0 million and (ii) the Issuer may, at its option, cause any other Subsidiary of the Issuer to Guarantee its obligations under the Notes and this Indenture and enter into a supplemental indenture with respect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from and after the Issue Date, the Issuer will not permit any of its Restricted Subsidiaries, directly or indirectly, by way of pledge, intercompany note or otherwise, to assume, guarantee or in any other manner become liable with respect to any Indebtedness (other than the Notes) of the Issuer or any Domestic Restricted Subsidiary of the Issuer, unless, in any such case, such Restricted Subsidiary executes and delivers a supplemental indenture (and the related Opinion of Counsel) to this Indenture providing a Guarantee of the Notes by such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Restricted Subsidiary shall be required to Guarantee the Notes if and to the extent it is prohibited by law from Guaranteeing the Notes. The obligations of each Guarantee by a Restricted Subsidiary will be limited as necessary to prevent the Guarantee from constituting a fraudulent conveyance or fraudulent transfer under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Suspension of Covenants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first day (the “</w:t>
      </w:r>
      <w:r>
        <w:rPr>
          <w:rFonts w:ascii="Times New Roman;Times;Serif" w:hAnsi="Times New Roman;Times;Serif"/>
          <w:b w:val="false"/>
          <w:i w:val="false"/>
          <w:caps w:val="false"/>
          <w:smallCaps w:val="false"/>
          <w:sz w:val="20"/>
          <w:u w:val="single"/>
        </w:rPr>
        <w:t>Suspension Date</w:t>
      </w:r>
      <w:r>
        <w:rPr>
          <w:rFonts w:ascii="Times New Roman;Times;Serif" w:hAnsi="Times New Roman;Times;Serif"/>
          <w:b w:val="false"/>
          <w:i w:val="false"/>
          <w:caps w:val="false"/>
          <w:smallCaps w:val="false"/>
          <w:sz w:val="20"/>
        </w:rPr>
        <w:t>”) that (i) the Notes have an Investment Grade Rating from both Rating Agencies and (ii) no Default has occurred and is continuing, the Issuer and its Restricted Subsidiaries will not be subject to the provisions of this Indenture summarized herein under: Sections 4.07, 4.08, 4.09, 4.10, 4.11 and 5.01(a)(4) (collectively, the “</w:t>
      </w:r>
      <w:r>
        <w:rPr>
          <w:rFonts w:ascii="Times New Roman;Times;Serif" w:hAnsi="Times New Roman;Times;Serif"/>
          <w:b w:val="false"/>
          <w:i w:val="false"/>
          <w:caps w:val="false"/>
          <w:smallCaps w:val="false"/>
          <w:sz w:val="20"/>
          <w:u w:val="single"/>
        </w:rPr>
        <w:t>Suspended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Issuer and its Restricted Subsidiaries are not subject to the Suspended Covenants for any period of time as a result of the foregoing, and on any subsequent date (the “</w:t>
      </w:r>
      <w:r>
        <w:rPr>
          <w:rFonts w:ascii="Times New Roman;Times;Serif" w:hAnsi="Times New Roman;Times;Serif"/>
          <w:b w:val="false"/>
          <w:i w:val="false"/>
          <w:caps w:val="false"/>
          <w:smallCaps w:val="false"/>
          <w:sz w:val="20"/>
          <w:u w:val="single"/>
        </w:rPr>
        <w:t>Reversion Date</w:t>
      </w:r>
      <w:r>
        <w:rPr>
          <w:rFonts w:ascii="Times New Roman;Times;Serif" w:hAnsi="Times New Roman;Times;Serif"/>
          <w:b w:val="false"/>
          <w:i w:val="false"/>
          <w:caps w:val="false"/>
          <w:smallCaps w:val="false"/>
          <w:sz w:val="20"/>
        </w:rPr>
        <w:t>”) one or both of the Rating Agencies withdraws its Investment Grade Rating or downgrades the rating assigned to the Notes below an Investment Grade Rating, then the Issuer and its Restricted Subsidiaries shall thereafter again be subject to the Suspended Covenants with respect to future events. The period of time between the Suspension Date and the Reversion Date is referred to herein as the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Notwithstanding that the Suspended Covenants may be reinstated, no Default shall be deemed to have occurred as a result of a failure to comply with the Suspended Covenants during the Suspension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Suspension Period, the Issuer and its Restricted Subsidiaries shall be entitled to incur Liens to the extent provided for under Section 4.12 (including, without limitation, Permitted Liens) and any Permitted Liens which may refer to one or more Suspended Covenants shall be interpreted as though such applicable Suspended Covenant(s) continued to be applicable during the Suspension Period (but solely for purposes of Section 4.12 and for no other provision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any Reversion Date, all Indebtedness incurred, or Disqualified Stock or Preferred Stock issued, during the Suspension Period shall be classified to have been incurred or issued pursuant to Section 4.09(b)(3). Notwithstanding the foregoing, during the Suspension Period the Issuer shall not designate any of its Restricted Subsidiaries to be Unrestricted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 shall notify the Trustee of the commencement or the termination of any Suspension Period. The Trustee shall have no obligation to independently determine or verify if a Suspension Date or Reversion Date has occurred or notify the holders of the occurrence or termination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Suspension Period. The Trustee may provide a copy of such notice to any Holder of Notes upon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Merger, Consolidation or Sale of All or Substantially All Assets.</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may not consolidate or merge with or into or wind up into (whether or not the Issuer is the surviving corporation), or sell, assign, transfer, lease, convey or otherwise dispose of all or substantially all of its properties or assets, in one or more related transactions, to any Person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is the surviving corporation or the Person formed by or surviving any such consolidation or merger (if other than the Issuer) or to which such sale, assignment, transfer, lease, conveyance or other disposition will have been made is a corporation, partnership, limited liability company or similar entity organized or existing under the laws of the jurisdiction of organization of the United States, any state thereof, the District of Columbia, or any territory thereof (such Person, as the case may be, being herein called the “</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the Issuer or the Successor Company is not a corporation, a co-obligor of the Notes is a corporation organized or existing under such laws;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Successor Company, if other than the Issuer, expressly assumes all the obligations of the Issuer under the Notes pursuant to supplemental indentures or other documents or instruments in form reasonably satisfactory to the Trustee;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such transaction, no Default exists;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immediately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transaction and any related financing transactions, as if such transactions had occurred at the beginning of the applicable four-quarter period, either (i) the Successor Company would be permitted to incur at least $1.00 of additional Indebtedness pursuant to the Fixed Charge Coverage Ratio test set forth in Section 4.09(a) hereof or (ii) the Fixed Charge Coverage Ratio for the Issuer (including any Successor Company thereto) and its Restricted Subsidiaries would be equal to or greater than such ratio for the Issuer and its Restricted Subsidiaries immediately prior to such transaction;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Guarantor, unless it is the other party to the transactions described above, in which case Section 5.01(c)(1)(B) hereof shall apply, shall have by supplemental indenture confirmed that its Guarantee shall apply to such Person’s obligations under this Indenture and the Notes;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shall have delivered to the Trustee an Officer’s Certificate and an Opinion of Counsel, each stating that such consolidation, merger or transfer and such supplemental indentures, if any, comply with this Indenture.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Company shall succeed to, and be substituted for the Issuer, as the case may be, under this Indenture, the Guarantees and the Notes, as applicable. Notwithstanding clauses (3) and (4) of Section 5.01(a)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Restricted Subsidiary may consolidate with or merge into or transfer all or part of its properties and assets to the Issuer, and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may merge with an Affiliate of the Issuer solely for the purpose of (x) reincorporating the Issuer in a State of the United States or (y) the creation of a holding company of the Issuer so long as the amount of Indebtedness of the Issuer and its Restricted Subsidiaries is not increased thereby;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Guarantor shall, and the Issuer shall not permit any Guarantor to, consolidate or merge with or into or wind up into (whether or not the Issuer or Guarantor is the surviving corporation), or sell, assign, transfer, lease, convey or otherwise dispose of all or substantially all of its properties or assets, in one or more related transactions, to any Person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such Guarantor is the surviving corporation or the Person formed by or surviving any such consolidation or merger (if other than such Guarantor) or to which such sale, assignment, transfer, lease, conveyance or other disposition will have been made is a corporation, partnership, limited partnership, limited liability company or trust or similar entity organized or existing under the laws of the jurisdiction of organization of such Guarantor, as the case may be, or the laws of the United States, any state thereof, the District of Columbia, or any territory thereof (such Guarantor or such Person, as the case may be, being herein called the “</w:t>
      </w:r>
      <w:r>
        <w:rPr>
          <w:rFonts w:ascii="Times New Roman;Times;Serif" w:hAnsi="Times New Roman;Times;Serif"/>
          <w:b w:val="false"/>
          <w:i w:val="false"/>
          <w:caps w:val="false"/>
          <w:smallCaps w:val="false"/>
          <w:sz w:val="20"/>
          <w:u w:val="single"/>
        </w:rPr>
        <w:t>Successor Person</w:t>
      </w:r>
      <w:r>
        <w:rPr>
          <w:rFonts w:ascii="Times New Roman;Times;Serif" w:hAnsi="Times New Roman;Times;Serif"/>
          <w:b w:val="false"/>
          <w:i w:val="false"/>
          <w:caps w:val="false"/>
          <w:smallCaps w:val="false"/>
          <w:sz w:val="20"/>
        </w:rPr>
        <w: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Person, if other than such Guarantor, expressly assumes all the obligations of such Guarantor under this Indenture and such Guarantor’s related Guarantee pursuant to supplemental indentures or other documents or instruments in form reasonably satisfactory to the Trustee;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such transaction, no Default exists;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shall have delivered to the Trustee an Officer’s Certificate and an Opinion of Counsel, each stating that such consolidation, merger or transfer and such supplemental indentures, if any, comply with this Indenture;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made in compliance with Section 4.10 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clause (1) above, the Successor Person shall succeed to, and be substituted for, such Guarantor under this Indenture and such Guarantor’s Guarantee. Notwithstanding the foregoing, any Guarantor may merge into or transfer all or part of its properties and assets to another Guarantor or the Issuer.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Successor Corporation Substituted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or merger, or any sale, assignment, transfer, lease, conveyance or other disposition of all or substantially all of the assets of the Issuer in accordance with Section 5.01 hereof, the successor corporation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corporation and not to the Issuer), and may exercise every right and power of the Issuer under this Indenture with the same effect as if such successor Person had been named as the Issuer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predecessor Issuer shall not be relieved from the obligation to pay the principal of and interest, if any, on the Notes except in the case of a sale, assignment, transfer, conveyance or other disposition of all of the Issuer’s assets that meets the requirements of Section 5.01 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wherever used herein, means any one of the following events: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payment when due and payable, upon redemption, acceleration or otherwise, of principal of, or premium, if any, on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for 30 days or more in the payment when due of interest on or with respect to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failure by the Issuer or any Guarantor to comply with its obligations under Section 5.01 hereof, (b) failure by the Issuer or any Restricted Subsidiary to comply with its obligations under the covenants described under Sections 4.10 and 4.14 hereof (in each case other than a failure to purchase Notes that will constitute an Event of Default under clause (1) above and other than a failure to comply with its obligations that would cause a default under clause (a)), or (c) failure by the Issuer or any Restricted Subsidiary to comply with any of its obligations, covenants or agreements (other than a default referred to in clauses (1), (2) and (a) and (b) above) contained in this Indenture or the Notes in the case of clause (b) for 30 days and in the case of clause (c) for 60 days, in each such case after receipt of written notice given to the Issuer by the Trustee or the Holders of not less than 25% in principal amount of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Indebtedness owed to the Issuer or a Restricted Subsidiary, whether such Indebtedness or guarantee now exists or is created after the issuance of the Notes, if both:</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Indebtedness, together with the principal amount of any other such Indebtedness in default for failure to pay principal at stated final maturity (after giving effect to any applicable grace periods), or the maturity of which has been so accelerated, at any one time outstanding exceeds the greater of (x) $100.0 million and (y) 20.0% of EBITDA of the Issuer and its Restricted Subsidiaries for the most recently ended four fiscal quarters ending immediately prior to such date for which internal financial statements are available;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failure by the Issuer or any Significant Subsidiary (or group of Restricted Subsidiaries that taken together would constitute a Significant Subsidiary) to pay final judgments aggregating in excess of the greater of (x) $100.0 million and (y) 20.0% of EBITDA of the Issuer and its Restricted Subsidiaries for the most recently ended four fiscal quarters ending immediately prior to such date for which internal financial statements are available, which final judgments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or any Significant Subsidiary or any group of Restricted Subsidiaries that, taken together, would constitute a Significant Subsidiary (as of the date of the most recent consolidated financial statements of the Issuer delivered pursuant to Section 4.03), pursuant to or within the meaning of any Bankruptcy Law:</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proceedings to be adjudicated bankrupt or insolvent;</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institution of bankruptcy or insolvency proceedings against it, or the filing by it of a petition or answer or consent seeking reorganization or relief under applicable Bankruptcy Law;</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receiver, liquidator, assignee, trustee, sequestrator or other similar official of it or for all or substantially all of its property;</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generally is not paying its debts as they become due;</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court of competent jurisdiction enters an order or decree under any Bankruptcy Law that: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Issuer or any Significant Subsidiary or any group of Restricted Subsidiaries that, taken together, would constitute a Significant Subsidiary (as of the date of the most recent consolidated financial statements of the Issuer delivered pursuant to Section 4.03), in a proceeding in which the Issuer, any Significant Subsidiary or any group of Restricted Subsidiaries that, taken together, would constitute a Significant Subsidiary, is to be adjudicated bankrupt or insolvent;</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receiver, liquidator, assignee, trustee, sequestrator or other similar official of the Issuer or any Significant Subsidiary or any group of Restricted Subsidiaries that, taken together, would constitute a Significant Subsidiary (as of the date of the most recent consolidated financial statements of the Issuer delivered pursuant to Section 4.03), or for all or substantially all of the property of the Issuer or any Significant Subsidiary or any group of Restricted Subsidiaries that, taken together, would constitute a Significant Subsidiary (as of the date of the most recent consolidated financial statements of the Issuer delivered pursuant to Section 4.03); or</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Issuer or any Significant Subsidiary or any group of Restricted Subsidiaries that, taken together, would constitute a Significant Subsidiary (as of the date of the most recent consolidated financial statements of the Issuer delivered pursuant to Section 4.03);</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77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consecutive days; or</w:t>
      </w:r>
    </w:p>
    <w:p>
      <w:pPr>
        <w:pStyle w:val="TextBody"/>
        <w:bidi w:val="0"/>
        <w:spacing w:before="0" w:after="0"/>
        <w:ind w:left="77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Guarantee of any Significant Subsidiary (or group of Guarantors that taken together would constitute a Significant Subsidiary) shall for any reason cease to be in full force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effect or be declared null and void or any responsible officer of such Guarantor, as the case may be, denies that it has any further liability under its Guarantee or gives notice to such effect, other than by reason of the termination of this Indenture or the release of any such Guarantee in accordance with this Indenture and such default continues for 10 Business Days.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Acceleration</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 type specified in clause (6) or (7) of Section 6.01 hereof with respect to the Issuer) occurs and is continuing under this Indenture, the Trustee (by written notice to the Issuer) or the Holders of at least 25% in principal amount of the then total outstanding Notes (by written notice to the Issuer and the Trustee) may declare the principal, premium, if any, interest and any other monetary obligations on all the then outstanding Notes to be due and payable immediately.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such declaration, such principal and interest shall be due and payable immediately. The Trustee shall have no obligation to accelerate the Notes if and so long as a committee of its Responsible Officers in good faith determines acceleration is not in the best interest of the Holders of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case of an Event of Default arising under clause (6) or (7) of Section 6.01 hereof, all outstanding Notes shall be due and payable immediately without further action or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not less than a majority in aggregate principal amount of the then outstanding Notes by written notice to the Trustee may on behalf of the Holders of all of the Notes waive any existing Default and its consequences hereunder, except a continuing Default in the payment of the principal of, premium, if any, or interest on, any Note held by a non-consenting Holder (including in connection with an Asset Sale Offer or a Change of Control Offer) or a continuing Default in respect of a covenant or provision of this Indenture which may not be amended or modified without the consent of all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subject to Section 6.02 hereof, that the Holders of a majority in aggregate principal amount of the then outstanding Notes may rescind an acceleration and its consequences, including any related payment default that resulted from such acceleration. Upon any such waiver, such Default shall cease to exist, and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Control by Majority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aggregate principal amount of the then total outstanding Notes may direct the time, method and place of conducting any proceeding for any remedy available to the Trustee or of exercising any trust or power conferred on the Trustee with respect to the Notes. The Trustee, however, may refuse to follow any direction that conflicts with law or this Indenture or that the Trustee determines is unduly prejudicial to the rights of any other Holder of a Note or that would involve the Trustee in personal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6.07 hereof, no Holder of a Note may pursue any remedy with respect to this Indenture or the Notes unless: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written notice that an Event of Default is continuing;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at least 25% in aggregate principal amount of the total outstanding Notes have requested in writing that the Trustee pursue the remedy;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Holders of the Notes have offered the Trustee security or indemnity satisfactory to it against any loss, liability or expense;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not complied with such request within 60 days after the receipt thereof and the offer of security or indemnity;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Holders of a majority in principal amount of the total outstanding Notes have not given the Trustee a written direction inconsistent with such request within such 60-day period.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Rights of Holders of Notes To Receive Payment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Note to receive payment of principal, premium, if any, and interest on the Note, on or after the respective due dates expressed in the Note (including in connection with an Asset Sale Offer or a Change of Control Offer), or to bring suit for the enforcement of any such payment on or after such respective dates, shall not be impaired or affected without the consent of such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6.01(1) or (2) hereof occurs and is continuing, the Trustee is authorized to recover judgment in its own name and as trustee of an express trust against the Issuer for the whole amount of principal of, premium, if any, and interest then due and owing on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collects any money pursuant to this Article VI, it shall pay out the money in the following order: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Trustee in all of its capacities, its agents and attorneys for amounts due under this Indenture, including payment of all compensation, expenses and liabilities incurred, and all advances made, by the Trustee and the costs and expenses of collection;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Issuer or to such party as a court of competent jurisdiction shall direct including a Guarantor, if applicable.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Notes pursuant to this Section 6.13.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the Issuer, a suit by a Holder of a Note pursuant to Section 6.07 hereof, or a suit by Holders of more than 10% in principal amount of the then outstanding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Noteholder Direction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of Default, notice of acceleration or instruction to the Trustee to provide a notice of Default, notice of acceleration or take any other action (a “Noteholder Direction”) provided by any one or more Holders of the Notes (other than any Holder that is a Regulated Bank, an Initial Purchaser or an Affiliate of an Initial Purchaser acting in concert with such Initial Purchaser in connection with such Initial Purchaser’s investment in the Notes (in each case, as evidenced by delivery of an officer’s certificate to the Trustee from such Initial Purchaser or Affiliate certifying as to its status as an Initial Purchaser or such an Affiliate thereof)) (each a “Directing Holder”) must be accompanied by a written representation from each such Holder to the Issuer and the Trustee that such Holder is not (or, in the case such Holder is the DTC or its nominee, that such Holder is being instructed solely by beneficial owners that have represented to such holder that they are not) Net Short (a “Position Representation”), which representation, in the case of a Noteholder Direction relating to a notice of Default, shall be deemed repeated at all times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in order to verify the accuracy of such holder’s Position Representation within five business days of request therefor (a “Verification Covenant”). The Trustee shall have no duty whatsoever to provide this information to the Issuer or to obtain this information for the Issuer. In any case in which the holder of the notes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the acceleration of the notes, the Issuer determines in good faith that there is a reasonable basis to believe a Directing Holder was, at any relevant time, in breach of its Position Representation and provides to the Trustee an officer’s certificate that the Issuer has instituted litigation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until such time as the Issuer provides the Trustee with an officer’s certificate that the Verification Covenant has been satisfied; provided that the Issuer shall promptly deliver such officer’s certificate to the Trustee upon becoming aware that the Verification Covenant has been satisfied. Any breach of the Position Representation (as evidenced by an officer’s certificate delivered to the Trustee) shall result in such holder’s participation in such Noteholder Direction being disregarded; and if, without the participation of such holder, the percentage of notes held by the remaining holders of the notes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provided, however, this shall not invalidate any indemnity or security provided by the Directing Holders of the notes to the Trustee which obligations shall continue to survive.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their acquisition of the notes, each Holder and subsequent purchaser of the Notes consents to the delivery of its Position Representation by the Trustee to the Issuer in accordance with the terms of this Section 6.02.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6.02, or arising out of or in connection with following instructions or taking actions in accordance with a Noteholder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waives any and all claims, in law and/or in equity, against the Trustee, and agrees not to commence any legal proceeding against the Trustee in respect of, and agrees that the Trustee will not be liable for any action that the Trustee takes in accordance with this Section 6.02, or arising out of or in connection with following instructions or taking actions in accordance with a Noteholder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will treat all holders of the notes equally with respect to their rights under this Section 6.02. In connection with the requisite percentages required under the indenture to exercise remedies, the Trustee shall be entitled to treat all outstanding notes equally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any Position Representation in determining whether the requisite percentage has been obtained with respect to the initial delivery of the Noteholder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that any and all other actions that the Trustee takes or omits to take in connection with this Section 6.02 and all fees, costs and expenses of the Trustee and its agents and counsel arising as a result of, or in connection with, the application of the foregoing provisions shall be covered by the Trustee related expense and indemnity provisions.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b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own negligent action, its own negligent failure to act, or its own willful misconduct, except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 7.01;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in a court of competent jurisdiction that the Trustee was negligent in ascertaining the pertinent facts;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it takes or omits to take in good faith in accordance with a direction received by it pursuant to Section 6.05 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that in any way relates to the Trustee is subject to paragraphs (a), (b) and (c) of this Section 7.01.</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its rights or powers under this Indenture at the request or direction of any Holder of the Notes unless such Holder has offered to the Trustee indemnity or security satisfactory to it against any loss, liability or expense.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will be responsible for making all calculations called for under this Indenture or the Notes. The Issuer will make all such calculations in good faith and, absent manifest error, its calculations will be final and binding on Holders. The Issuer will provide a schedule of its calculations to the Trustee when reasonably requested by the Trustee, and the Trustee is entitled to rely conclusively upon the accuracy of such calculations without independent verification. The Trustee will deliver a copy of any such schedule to any Holder upon the written request of such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upon and shall be fully protected in acting or refraining from acting upon any resolution, certificate, statement, instrument, opinion, report, notice, request, direction, consent, order or other paper or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shall not be responsible for the misconduct or negligence of any agent or attorney appointed with due care.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that it believes to be authorized or within the rights or powers conferred upon it by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Issuer shall be sufficient if signed by an Officer of the Issuer.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Trustee shall not be deemed to have notice of any Default or Event of Default unless a Responsible Officer of the Trustee has actual knowledge thereof or unless written notice 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which is in fact such a Default is received by the Trustee at the Corporate Trust Office, and such notice references the Notes and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rights of the Trustee enumerated herein shall not be construed as duties.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Issuer delivers an Officer’s Certificate setting forth the names of individuals and/or titles of officers authorized at such time to take specified actions pursuant to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occurs and is continuing and if it is actually known to a Responsible Officer of the Trustee, the Trustee shall mail to Holders of Notes a notice of the Default within 90 days after it occurs. Except in the case of a Default relating to the payment of principal, premium, if any, or interest on any Note, the Trustee may withhold from the Holders notice of any continuing Default if and so long as it in good faith determines that withholding the notice is in the interests of the Holders of the Notes. The Trustee shall not be deemed to know of any Default unless a Responsible Officer of the Trustee has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knowledge thereof or unless written notice of any event which is such a Default is received by the Trustee at the Corporate Trust Office.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jointly and severally,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and the Guarantors, jointly and severally,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jointly and severally, shall indemnify the Trustee for, and hold the Trustee harmless against, any and all loss, damage, claims, liability or expense (including reasonable and documented attorneys’ fees and expenses) incurred by it in connection with the acceptance or administration of this trust and the performance of its duties hereunder (including the costs and expenses of enforcing this Indenture against any Issuer or any of the Guarantors (including this Section 7.07) or defending itself against any claim whether asserted by any Holder, any Issuer or any Guarantor, or liability in connection with the acceptance, exercise or performance of any of its powers or duties hereunder). The Trustee shall notify the Issuer promptly of any claim for which it may seek indemnity. Failure by the Trustee to so notify the Issuer shall not relieve the Issuer of its obligations hereunder except to the extent actually prejudiced thereby. The Issuer shall defend the claim, and the Trustee shall cooperate in the defense of such claim. The Trustee may have separate counsel if the Trustee shall have been advised by counsel that there may be one or more legal defenses available to it that are different from or additional to those available to the Issuer and in the reasonable judgment of such counsel it is advisable for the Trustee to engage separate counsel, and the Issuer shall pay the reasonable and documented fees and expenses of any one such separate counsel (as well as such fees and expenses of one firm of local counsel in each jurisdiction in which the primary counsel is not admitted to practice and where local counsel is necessary or advisable). The Issuer need not pay for any settlement made without its consent, which consent shall not be unreasonably withheld. The Issuer need not reimburse any expense or indemnify against any loss, liability or expense incurred as determined in a final judgment by a court of competent jurisdiction by the Trustee through the Trustee’s own willful misconduct, negligence or bad faith.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Issuer under this Section 7.07 shall survive the satisfaction and discharge of this Indenture or the earlier resignation or removal of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payment obligations of the Issuer and the Guarantors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6.01(6) or (7) hereof occurs, the expenses and the compensation for the services (including the fees and expenses of its agents and counsel) are intended to constitute expenses of administration under any Bankruptcy Law.</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 The Holders of a majority in principal amount of the then outstanding Notes may remove the Trustee by so notifying the Trustee and the Issuer in writing not less than 30 days prior to the effective date of such removal. The Issuer may remove the Trustee if: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(at the Issuer’s expense), the Issuer or the Holders of at least 10% in principal amount of the then outstanding Notes may, at the expense of the Issuer, petition any court of competent jurisdiction for the appointment of a successor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all sums 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or sells all or substantially all of its corporate trust business to, another corporation, the successor corporation without any further act shall be the successor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that is a corporation organized and doing business under the laws of the United States of America or of any state thereof that is authorized under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laws to exercise corporate trustee power, that is subject to supervision or examination by federal or state authorities and that has a combined capital and surplus of at least $50,000,000 as set forth in its most recent published annual report of condition.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br/>
        <w:br/>
        <w:t>LEGAL DEFEASANCE AND COVENANT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Option To Effect Legal Defeasance or Covenant Defeasance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its option and at any time, elect to have either Section 8.02 or 8.03 hereof applied to all outstanding Notes upon compliance with the conditions set forth below in this Article VIII.</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Legal Defeasance and Discharge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hereof of the option applicable to this Section 8.02, the Issuer and the Guarantors shall, subject to the satisfaction of the conditions set forth in Section 8.04 hereof, be deemed to have been discharged from their obligations with respect to all outstanding Notes and Guarantees on the date the conditions set forth below are satisfied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Guarantors (and the Trustee, on demand of and at the expense of the Issuer, shall execute proper instruments acknowledging the same) and cured all then existing Events of Default, except for the following provisions which shall survive until otherwise terminated or discharged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Notes to receive payments in respect of the principal of, premium, if any, and interest on the Notes when such payments are due solely out of the trust created pursuant to this Indenture referred to in Section 8.04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obligations with respect to Notes concerning issuing temporary Notes, registration of such Notes, mutilated, destroyed, lost or stolen Notes and the maintenance of an office or agency for payment and money for security payments held in trust;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trusts, duties and immunities of the Trustee, and the Issuer’s obligations in connection therewith;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Section 8.02.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VIII, the Issuer may exercise its option under this Section 8.02 notwithstanding the prior exercise of its option under Section 8.03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Issuer’s exercise under Section 8.01 hereof of the option applicable to this Section 8.03, the Issuer and the Guarantors shall, subject to the satisfaction of the conditions set forth in Section 8.04 hereof, be released from their obligations under the covenants contained in Sections 4.03, 4.04, 4.05, 4.07, 4.08, 4.09, 4.10, 4.11, 4.12, 4.14 and 4.15 hereof and the operation of Section 5.01 with respect to the outstanding Notes on and after the date the conditions set forth in Section 8.04 hereof are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satisfied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6.01(3), 6.01(4), 6.01(5), 6.01(6) (solely with respect to Restricted Subsidiaries that are Significant Subsidiaries), 6.01(7) (solely with respect to Restricted Subsidiaries that are Significant Subsidiaries) and 6.01(8) hereof shall not constitute Events of Default.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584" w:right="0" w:hanging="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Conditions to Legal or Covenant Defeasance.</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the application of either Section 8.02 or 8.03 hereof to the outstanding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 with respect to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must irrevocably deposit with the Trustee, in trust, for the benefit of the Holders of the Notes, cash in U.S. dollars,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Legal Defeasance, the Issuer shall have delivered to the Trustee an Opinion of Counsel reasonably acceptable to the Trustee confirming that, subject to customary assumptions and exclusions,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received from, or there has been published by, the United States Internal Revenue Service a ruling,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issuance of the Notes, there has been a change in the applicable U.S. federal income tax law,</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subject to customary assumptions and exclusions, the Holders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Covenant Defeasance, the Issuer shall have delivered to the Trustee an Opinion of Counsel reasonably acceptable to the Trustee confirming that, subject to customary assumptions and exclusions, the Holders of the Notes will not recognize income, gain or loss for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purposes as a result of such Covenant Defeasance and will be subject to such tax on the same amounts, in the same manner and at the same times as would have been the case if such Covenant Defeasance had not occurred;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Default (other than that resulting from borrowing funds to be applied to make such deposit and the granting of Liens in connection therewith) shall have occurred and be continuing on the date of such deposit;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Legal Defeasance or Covenant Defeasance shall not result in a breach or violation of, or constitute a default under any Credit Facility or any other material agreement or instrument (other than this Indenture) to which the Issuer or any Guarantor is a party or by which the Issuer or any Guarantor is bound;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shall have delivered to the Trustee an Opinion of Counsel to the effect that, as of the date of such opinion and subject to customary assumptions and exclusions following the deposit, the trust funds will not be subject to the effect of Section 547 of Title 11 of the United States Code;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Issuer shall have delivered to the Trustee an Officer’s Certificate stating that the deposit was not made by the Issuer with the intent of defeating, hindering, delaying or defrauding any creditors of the Issuer or any Guarantor or others;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8.06 hereof, all money and Government Securities (including the proceeds thereof) deposited with the Trustee (or other qualifying trustee, collectively for purposes of this Section 8.05,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Section 8.04 hereof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VIII to the contrary notwithstanding, the Trustee shall deliver or pay to the Issuer from time to time upon the request of the Issuer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 hereof), are in excess of the amount thereof that would then be required to be deposited to effect an equivalent Legal Defeasance or Covenant Defeasance.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Repayment to Issuer</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upon the written request of the Issuer, and in any event no later than five Business Days after such request, pay to the Issuer any excess money held with respect to the Notes at such time in excess of amounts required to pay any of the Issuer’s Obligations then owing with respect to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Issuer, in trust for the payment of the principal of, premium, if any, or interest on any Note and remaining unclaimed for one year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United States dollars or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br/>
        <w:t>AMENDMENT, SUPPLEMENT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Holders of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hereof, the Issuer, any Guarantor (with respect to a Guarantee or this Indenture) and the Trustee may amend or supplement this Indenture and any Guarantee or Notes without the consent of any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cure any ambiguity, omission, mistake, defect or inconsistency;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uncertificated Notes of such series in addition to or in place of certificated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comply with Section 5.01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provide for the assumption of the Issuer’s or any Guarantor’s obligations to the Holders;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make any change that would provide any additional rights or benefits to the Holders or that does not adversely affect the rights under this Indenture of any such Holder;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covenants for the benefit of the Holders or to surrender any right or power conferred upon the Issuer or any Guarantor;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[reserved];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evidence and provide for the acceptance and appointment under this Indenture of a successor Trustee thereunder pursuant to the requirements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[reserved];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add a Guarantor or release any Guarantor from its Guarantee if such release is in accordance with the terms under this Indenture;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conform the text of this Indenture, Guarantees or the Notes to any provision of the “Description of Notes” section of the Offering Memorandum to the extent that such provision in such “Description of Notes” section was intended to be a verbatim recitation of a provision of this Indenture, Guarantee or Notes, as provided in an Officer’s Certificate;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to make any amendment to the provisions of this Indenture relating to the transfer and legending of Notes as permitted by this Indenture, including, without limitation, to facilitate the issuance and administration of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compliance with this Indenture as so amended would not result in Notes being transferred in violation of the Securities Act or any applicable securities law and (ii) such amendment does not materially and adversely affect the rights of Holders to transfer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request of the Issuer accompanied by a resolution of the Issuer’s board of directors authorizing the execution of any such amended or supplemental indenture, and upon receipt by the Trustee of the documents described in Section 7.02, the Trustee shall join with the Issuer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 Notwithstanding the foregoing, no Opinion of Counsel shall be required in connection with the addition of a Guarantor under this Indenture upon (i) execution and delivery by such Guarantor and the Trustee of a supplemental indenture to this Indenture, the form of which is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and (ii) delivery of an Officer’s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Holders of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below in this Section 9.02, the Issuer and the Trustee may amend or supplement this Indenture, the Notes and the Guarantees with the consent of the Holders of at least a majority in principal amount of the Notes then outstanding voting as a single class (including, without limitation, consents obtained in connection with a tender offer or exchange offer for, or purchase of, the Notes), and, subject to Sections 6.04 and 6.07 hereof, any existing Default or Event of Default (other than a Default or Event of Default in the payment of the principal of, premium or interest on the Notes, except a payment default resulting from an acceleration that has been rescinded) or compliance with any provision of this Indenture, the Guarantees or the Notes may be waived with the consent of the Holders of a majority in principal amount of the then outstanding Notes voting as a single class (including consents obtained in connection with a tender offer or exchange offer for, or purchase of, the Notes). Section 2.08 hereof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Section 2.09 hereof shall determine which Notes are considered to be “outstanding” for the purposes of this Section 9.02.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resolution of the Issuer’s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9.06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is not necessary under this Indenture to approve the particular form of any proposed amendment. It is sufficient if such consent approves the substance of the proposed amendment.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shall mail to the Holders of Notes affected thereby at such Holder’s address appearing in the register of Holders a notice (or, for so long as the Notes are held in global form, to notify The Depository Trust Company in accordance with its procedures for notice) briefly describing the amendment, supplement or waiver. However, any failure of the Issuer to give such notice to all Holders of the Notes, or any defect therein, shall not in any way impair or affect the validity of any such amendment, supplement or waiver. Any supplemental indenture for the purpose of adding a Subsidiary Guarantee shall be signed by the Issuer, the Subsidiary providing the Subsidiary Guarantee, and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affected Holder of Notes, an amendment or waiver under this Section 9.02 may not (with respect to any Notes held by a non-consenting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principal amount of such Notes whose Holders must consent to an amendment, supplement or waiver;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reduce the principal of or change the fixed final maturity of any such Note or alter or waive the provisions with respect to the redemption of such Notes (other than provisions relating to Section 3.09, Section 4.10 and Section 4.14);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notice period for redemption may be reduced to not less than three (3) Business Days with the consent of the Holders of a majority in principal amount of the Notes then outstanding if a notice of redemption has not prior thereto been sent to such Holders;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rate of or change the time for payment of interest on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currency other than that stated therein;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 any change in the provisions of this Indenture relating to the rights of Holders to receive payments of principal of or premium, if any, or interest on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make any change to this paragraph of Section 9.02;</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impair the right of any Holder to receive payment of principal of, or interest on such Holder’s Notes on or after the due dates therefor or to institute suit for the enforcement of any payment on or with respect to such Holder’s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make any change to or modify the ranking of the Notes that would adversely affect the Holders;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except as expressly permitted by this Indenture, modify the Guarantee of any Significant Subsidiary in any manner adverse to the Holders of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Notation on or Exchange of Notes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the appropriate notation or issue a new Note shall not affect the validity and effect of such amendment, supplement or waiver.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Trustee To Sign Amendments, etc</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amendment, supplement or waiver authorized pursuant to this Article IX if the amendment, supplement or waiver does not adversely affect the rights, duties, liabilities or immunities of the Trustee. The Issuer may not sign an amendment, supplement or waiver until its board of directors approves it. In executing any amendment, supplement or waiver, the Trustee shall be provided with and (subject to Section 7.01 hereof) shall be fully protected in conclusively relying upon, in addition to the documents required by Section 12.04 hereof, an Officer’s Certificate and an Opinion of Counsel, each stating that the execution of such amended or supplemental indenture is authorized or permitted by this Indenture and that such amendment, supplement or waiver is the legal, valid and binding obligation of the Issuer and any Guarantors party thereto, enforceable against them in accordance with its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subject to customary exceptions. Notwithstanding the foregoing, no Opinion of Counsel will be required for the Trustee to execute any amendment or supplement adding a new Guarantor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br/>
        <w:t>GUARANTEES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this Article X, from and after the consummation of the Transaction,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 (a) the principal of, interest, premium, if any, on the Notes, subject to any applicable grace period,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by the Issuer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(other than payment in full of all of the Obligations of the Issuer hereunder and under the Notes). Each Guarantor hereby waives diligence, presentment, demand of payment, filing of claims with a court in the event of insolvency or bankruptcy of the Issuer, any right to require a proceeding first against the Issuer, protest, notice and all demands whatsoever and covenants that this Guarantee shall not be discharged except by complete performance of the obligations contained in the Notes and this Indenture or by release in accordance with the provisions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also agrees to pay any and all costs and expenses (including reasonable attorneys’ and agents’ fees and expenses) incurred by the Trustee or any Holder in enforcing any rights under this Section 10.01.</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accelerated as provided in Article VI hereof for the purposes of this Guarantee, notwithstanding any stay, injunction or other prohibition preventing such acceleration in respect of the obligations guaranteed hereby, and (y) in the event of any declaration of acceleration of such obligations as provided in Article VI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any Guarantee shall be invalid, illegal or unenforceable, the validity, legality, and enforceability of the remaining provisions shall not in any way be affected or impaired thereby.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 issued by any Guarantor shall be a general unsecured obligation of such Guarantor and shall rank equally in right of payment to all existing and future senior indebtedness of such Guarantor,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payment to be made by a Guarantor in respect of its Guarantee shall be made without set-off, counterclaim, reduction or diminution of any kind or nature.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X, result in the obligations of such Guarantor under its Guarantee not constituting a fraudulent conveyance or fraudulent transfer under applicable law. Each Guarantor that makes a payment under its Guarantee shall be entitled upon payment in full of all guaranteed obligations under this Indenture to a contribution from each other Guarantor in an amount equal to such other Guarantor’s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such payment based on the respective net assets of all the Guarantors at the time of such payment determined in accordance with GAAP.</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its Guarantee set forth in Section 10.01 hereof, each Guarantor hereby agrees that this Indenture shall be executed on behalf of such Guarantor by an authorized officer.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hereby agrees that its Guarantee set forth in Section 10.01 hereof shall remain in full force and effect notwithstanding the absence of the endorsement of any notation of such Guarantee on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of a Guarantor whose signature is on this Indenture no longer holds that office at the time the Trustee authenticates the Note, the Guarantee of such Guarantor shall be valid nevertheless.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any Note by the Trustee, after the authentication thereof hereunder, shall constitute due delivery of the Guarantee set forth in this Indenture on behalf of the Guarantors.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Section 4.15 hereof, the Issuer shall cause any newly created or acquired Restricted Subsidiary to comply with the provisions of Section 4.15 hereof and this Article X, to the extent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shall be subrogated to all rights of Holders of Notes against the Issuer in respect of any amounts paid by any Guarantor pursuant to the provisions of Section 10.01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Benefits Acknowledged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acknowledges that it will receive direct and indirect benefits from the financing arrangements contemplated by this Indenture and that the guarantee and waivers made by it pursuant to its Guarantee are knowingly made in contemplation of such benefits.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Release of Guarantees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by a Guarantor shall be automatically and unconditionally released and discharged, and no further action by such Guarantor, the Issuer or the Trustee is required for the release of such Guarantor’s Guarantee, upon: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any sale, exchange or transfer (by merger or otherwise) of (i) the Capital Stock of such Guarantor, after which the applicable Guarantor is no longer a Restricted Subsidiary or (ii) all or substantially all the assets of such Guarantor, in each case,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sale, exchange or transfer of Capital Stock or assets is made in compliance with the applicable provisions of this Indenture</w:t>
      </w:r>
      <w:r>
        <w:rPr>
          <w:rFonts w:ascii="Times New Roman;Times;Serif" w:hAnsi="Times New Roman;Times;Serif"/>
          <w:b w:val="false"/>
          <w:i w:val="false"/>
          <w:caps/>
          <w:sz w:val="20"/>
        </w:rPr>
        <w:t>;</w:t>
      </w:r>
    </w:p>
    <w:p>
      <w:pPr>
        <w:pStyle w:val="TextBody"/>
        <w:bidi w:val="0"/>
        <w:spacing w:before="0" w:after="0"/>
        <w:ind w:left="1430" w:right="0" w:firstLine="298"/>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proper designation of any Restricted Subsidiary that is a Guarantor as an Unrestricted Subsidiary in compliance with the applicable provisions of this Indenture;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exercising their Legal Defeasance option or Covenant Defeasance option in accordance with Article VIII hereof or the Issuer’s obligations under this Indenture being discharged in accordance with the terms of this Indenture;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delivering to the Trustee an Officer’s Certificate and an Opinion of Counsel, each stating that all conditions precedent provided for in this Indenture relating to such transaction have been complied with.</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Satisfaction and Discharge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all Notes, when either: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Notes theretofore authenticated and delivered, except lost, stolen or destroyed Notes which have been replaced or paid and Notes for whose payment money has theretofore been deposited in trust, have been delivered to the Trustee for cancellation;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all Notes not theretofore delivered to the Trustee for cancellation have become due and payable by reason of the making of a notice of redemption or otherwise, will become due and payable within one year or are to be called for redemption and redeemed within one year under arrangements satisfactory to the Trustee for the giving of notice of redemption by the Trustee in the name, and at the expense, of the Issuer and the Issuer or any Guarantor have irrevocably deposited or caused to be deposited with the Trustee as trust funds in trust solely for the benefit of the Holders of the Notes, cash in U.S. dollars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 as the case may be;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has paid or caused to be paid all sums payable by it under this Indenture;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has delivered irrevocable written instructions to the Trustee to apply the deposited money toward the payment of the Notes at maturity or the Redemption Date, as the case may be.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 must deliver an Officer’s Certificate and an Opinion of Counsel to the Trustee stating that all conditions precedent to satisfaction and discharge have been satisfied.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if money shall have been deposited with the Trustee pursuant to subclause (A) of clause (2) of this Section 11.01, the provisions of Section 11.02 and Section 8.06 hereof shall survive such satisfaction and discharge.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Issuer, any Guarantor or the Trustee to the others is duly given if in writing and delivered in person or mailed by first-class mail (registered or certified, return receipt requested), fax or overnight air courier guaranteeing next day delivery, to the others’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 and/or any Guarantor:</w:t>
        <w:br/>
        <w:br/>
        <w:t>c/o Griffon Corporation</w:t>
        <w:br/>
        <w:t>712 Fifth Avenue, 18th Floor</w:t>
        <w:br/>
        <w:t>New York, New York 10019</w:t>
        <w:br/>
        <w:t>Attention: General Counsel</w:t>
        <w:br/>
        <w:t>Fax: (212) 957-5040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br/>
        <w:br/>
        <w:t>Dechert LLP</w:t>
        <w:br/>
        <w:t>1095 Avenue of the Americas</w:t>
        <w:br/>
        <w:t>New York, NY 10036</w:t>
        <w:br/>
        <w:t>Attention: Stephen Leitzell, Esq.</w:t>
        <w:br/>
        <w:t>Fax: (215) 994-2222</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br/>
        <w:br/>
        <w:t>Computershare Trust Company, 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 Energy Park Drive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55108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CCT Administrator for Griffon Corporation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Mark.Vonderharr@computershare.com</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any Guarantor or the Trustee, by notice to the others, may designate additional or different addresses for subsequent notices or communications.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or communication delivered to the Trustee shall be deemed effective upon actual receipt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Holder shall be mailed by first-class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otherwise delivered in the manner provided above within the time prescribed, such notice or communication shall be deemed duly given, whether or not the addressee receives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agrees to accept and act upon facsimile transmission of written instructions and/or directions pursuant to this Indenture given by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if requested, such Issuer, subsequent to such facsimile transmission of written instructions and/or directions, shall provide the originally executed instructions and/or directions to the Trustee in a timely manner and (ii) such originally executed instructions and/or directions shall be signed by an Officer of the Issuer.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mails a notice or communication to Holders, it shall mail a copy to the Trustee and each agent at the same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Issuer or any of the Guarantors to the Trustee to take any action under this Indenture (other than as set forth in the last sentence of Section 9.06 hereof), the Issuer or such Guarantor, as the case may be, shall furnish to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in form and substance reasonably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Opinion of Counsel in form and substance reasonably satisfactory to the Trustee (which shall include the statements set forth in Section 12.05 hereof) stating that, in the opinion of such counsel, all such conditions precedent and covenants have been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opinion shall be required for the issuance of the Initial Notes.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Section 4.04 hereof shall include: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or she has made such examination or investigation as is necessary to enable him to express an informed opinion as to whether or not such covenant or condition has been satisfied;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satisfied.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matters of fact, an Opinion of Counsel may rely on an Officer’s Certificate, certificates of public officials or reports or opinions of experts.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val="false"/>
          <w:caps w:val="false"/>
          <w:smallCaps w:val="false"/>
          <w:sz w:val="20"/>
          <w:u w:val="single"/>
        </w:rPr>
        <w:t>No Personal Liability of Directors, Officers, Employees and Stockholders</w:t>
      </w:r>
      <w:r>
        <w:rPr>
          <w:rFonts w:ascii="Times New Roman;Times;Serif" w:hAnsi="Times New Roman;Times;Serif"/>
          <w:b w:val="false"/>
          <w:i w:val="false"/>
          <w:caps w:val="false"/>
          <w:smallCaps w:val="false"/>
          <w:sz w:val="20"/>
        </w:rPr>
        <w:t>.</w:t>
      </w:r>
    </w:p>
    <w:p>
      <w:pPr>
        <w:pStyle w:val="TextBody"/>
        <w:bidi w:val="0"/>
        <w:spacing w:before="0" w:after="0"/>
        <w:ind w:left="1584" w:right="72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member or limited partner of the Issuer or any Restricted Subsidiary or any of their direct or indirect parent companies shall have any liability for any obligations of the Issuer or the Guarantors under the Notes, the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THE NOTES AND ANY GUARANTEE WILL BE GOVERNED BY AND CONSTRUED IN ACCORDANCE WITH THE LAWS OF THE STATE OF NEW YORK WITHOUT REGARD TO CONFLICTS OF LAWS PRINCIPLES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THE GUARANTORS AND THE TRUSTEE HEREBY IRREVOCABLY WAIVE,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including, without limitation, strikes, work stoppages, accidents, acts of war or terrorism, civil or military disturbances, pandemics, epidemics, recognized public emergencies, quarantine restrictions,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any other indenture, loan or debt agreement of the Issuer or the Restricted Subsidiaries or of any other Person. Any such indenture, loan or debt agreement may not be used to interpret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Issuer in this Indenture and the Notes shall bind their successors. All agreements of the Trustee in this Indenture shall bind its successors. All agreements of each Guarantor in this Indenture shall bind its successors, except as otherwise provided in Section 10.06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12.14 </w:t>
      </w:r>
      <w:r>
        <w:rPr>
          <w:rFonts w:ascii="Times New Roman;Times;Serif" w:hAnsi="Times New Roman;Times;Serif"/>
          <w:b w:val="false"/>
          <w:i w:val="false"/>
          <w:caps w:val="false"/>
          <w:smallCaps w:val="false"/>
          <w:sz w:val="20"/>
          <w:u w:val="single"/>
        </w:rPr>
        <w:t>Counterpart Originals</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which, when taken together, shall constitute one instrument.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 </w:t>
      </w:r>
      <w:r>
        <w:rPr>
          <w:rFonts w:ascii="Times New Roman;Times;Serif" w:hAnsi="Times New Roman;Times;Serif"/>
          <w:b w:val="false"/>
          <w:i w:val="false"/>
          <w:caps w:val="false"/>
          <w:smallCaps w:val="false"/>
          <w:sz w:val="20"/>
          <w:u w:val="single"/>
        </w:rPr>
        <w:t>Table of Contents, Headings, etc.</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12.15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0" w:after="0"/>
        <w:ind w:left="1584" w:right="0" w:hanging="1584"/>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165"/>
      </w:tblGrid>
      <w:tr>
        <w:trPr/>
        <w:tc>
          <w:tcPr>
            <w:tcW w:w="7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ind w:left="0" w:right="0" w:hanging="0"/>
              <w:jc w:val="left"/>
              <w:rPr>
                <w:b/>
                <w:caps/>
              </w:rPr>
            </w:pPr>
            <w:r>
              <w:rPr>
                <w:b/>
                <w:caps/>
              </w:rPr>
              <w:t>GRIFFON CORPORATION,</w:t>
            </w:r>
          </w:p>
          <w:p>
            <w:pPr>
              <w:pStyle w:val="TableContents"/>
              <w:bidi w:val="0"/>
              <w:spacing w:before="0" w:after="0"/>
              <w:ind w:left="0" w:right="0" w:hanging="0"/>
              <w:jc w:val="left"/>
              <w:rPr/>
            </w:pPr>
            <w:r>
              <w:rPr/>
              <w:t>as Issuer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xml:space="preserve">By: </w:t>
            </w:r>
            <w:r>
              <w:rPr>
                <w:u w:val="single"/>
              </w:rPr>
              <w:t>/s/ Seth L. Kaplan      </w:t>
            </w:r>
          </w:p>
          <w:p>
            <w:pPr>
              <w:pStyle w:val="TableContents"/>
              <w:bidi w:val="0"/>
              <w:spacing w:before="0" w:after="0"/>
              <w:ind w:left="0" w:right="0" w:hanging="0"/>
              <w:jc w:val="left"/>
              <w:rPr/>
            </w:pPr>
            <w:r>
              <w:rPr/>
              <w:t>Name: Seth L. Kaplan</w:t>
            </w:r>
          </w:p>
          <w:p>
            <w:pPr>
              <w:pStyle w:val="TableContents"/>
              <w:bidi w:val="0"/>
              <w:spacing w:before="0" w:after="0"/>
              <w:ind w:left="0" w:right="0" w:hanging="0"/>
              <w:jc w:val="left"/>
              <w:rPr/>
            </w:pPr>
            <w:r>
              <w:rPr/>
              <w:t>Title: Executive Vice President</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AMES HUNTER HOLDINGS CORPORATION,</w:t>
            </w:r>
          </w:p>
          <w:p>
            <w:pPr>
              <w:pStyle w:val="TableContents"/>
              <w:bidi w:val="0"/>
              <w:spacing w:before="0" w:after="0"/>
              <w:ind w:left="0" w:right="0" w:hanging="0"/>
              <w:jc w:val="left"/>
              <w:rPr/>
            </w:pPr>
            <w:r>
              <w:rPr/>
              <w:t>as Guarantor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xml:space="preserve">By: </w:t>
            </w:r>
            <w:r>
              <w:rPr>
                <w:u w:val="single"/>
              </w:rPr>
              <w:t>/s/ Seth L. Kaplan      </w:t>
            </w:r>
          </w:p>
          <w:p>
            <w:pPr>
              <w:pStyle w:val="TableContents"/>
              <w:bidi w:val="0"/>
              <w:spacing w:before="0" w:after="0"/>
              <w:ind w:left="0" w:right="0" w:hanging="0"/>
              <w:jc w:val="left"/>
              <w:rPr/>
            </w:pPr>
            <w:r>
              <w:rPr/>
              <w:t>Name: Seth L. Kaplan</w:t>
            </w:r>
          </w:p>
          <w:p>
            <w:pPr>
              <w:pStyle w:val="TableContents"/>
              <w:bidi w:val="0"/>
              <w:spacing w:before="0" w:after="0"/>
              <w:ind w:left="0" w:right="0" w:hanging="0"/>
              <w:jc w:val="left"/>
              <w:rPr/>
            </w:pPr>
            <w:r>
              <w:rPr/>
              <w:t>Title: Vice President</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 xml:space="preserve">CLOPAY AMES HOLDINGS CORP., </w:t>
            </w:r>
          </w:p>
          <w:p>
            <w:pPr>
              <w:pStyle w:val="TableContents"/>
              <w:bidi w:val="0"/>
              <w:spacing w:before="0" w:after="0"/>
              <w:ind w:left="0" w:right="0" w:hanging="0"/>
              <w:jc w:val="left"/>
              <w:rPr/>
            </w:pPr>
            <w:r>
              <w:rPr/>
              <w:t>as Guarantor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xml:space="preserve">By: </w:t>
            </w:r>
            <w:r>
              <w:rPr>
                <w:u w:val="single"/>
              </w:rPr>
              <w:t>/s/ Seth L. Kaplan      </w:t>
            </w:r>
          </w:p>
          <w:p>
            <w:pPr>
              <w:pStyle w:val="TableContents"/>
              <w:bidi w:val="0"/>
              <w:spacing w:before="0" w:after="0"/>
              <w:ind w:left="0" w:right="0" w:hanging="0"/>
              <w:jc w:val="left"/>
              <w:rPr/>
            </w:pPr>
            <w:r>
              <w:rPr/>
              <w:t>Name: Seth L. Kaplan</w:t>
            </w:r>
          </w:p>
          <w:p>
            <w:pPr>
              <w:pStyle w:val="TableContents"/>
              <w:bidi w:val="0"/>
              <w:spacing w:before="0" w:after="0"/>
              <w:ind w:left="0" w:right="0" w:hanging="0"/>
              <w:jc w:val="left"/>
              <w:rPr/>
            </w:pPr>
            <w:r>
              <w:rPr/>
              <w:t>Title: Vice President</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CLOPAY CORPORATION,</w:t>
            </w:r>
          </w:p>
          <w:p>
            <w:pPr>
              <w:pStyle w:val="TableContents"/>
              <w:bidi w:val="0"/>
              <w:spacing w:before="0" w:after="0"/>
              <w:ind w:left="0" w:right="0" w:hanging="0"/>
              <w:jc w:val="left"/>
              <w:rPr/>
            </w:pPr>
            <w:r>
              <w:rPr/>
              <w:t>as Guarantor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xml:space="preserve">By: </w:t>
            </w:r>
            <w:r>
              <w:rPr>
                <w:u w:val="single"/>
              </w:rPr>
              <w:t>/s/ Seth L. Kaplan      </w:t>
            </w:r>
          </w:p>
          <w:p>
            <w:pPr>
              <w:pStyle w:val="TableContents"/>
              <w:bidi w:val="0"/>
              <w:spacing w:before="0" w:after="0"/>
              <w:ind w:left="0" w:right="0" w:hanging="0"/>
              <w:jc w:val="left"/>
              <w:rPr/>
            </w:pPr>
            <w:r>
              <w:rPr/>
              <w:t>Name: Seth L. Kaplan</w:t>
            </w:r>
          </w:p>
          <w:p>
            <w:pPr>
              <w:pStyle w:val="TableContents"/>
              <w:bidi w:val="0"/>
              <w:spacing w:before="0" w:after="0"/>
              <w:ind w:left="0" w:right="0" w:hanging="0"/>
              <w:jc w:val="left"/>
              <w:rPr/>
            </w:pPr>
            <w:r>
              <w:rPr/>
              <w:t>Title: Vice President</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CORNELLCOOKSON, LLC,</w:t>
            </w:r>
          </w:p>
          <w:p>
            <w:pPr>
              <w:pStyle w:val="TableContents"/>
              <w:bidi w:val="0"/>
              <w:spacing w:before="0" w:after="0"/>
              <w:ind w:left="0" w:right="0" w:hanging="0"/>
              <w:jc w:val="left"/>
              <w:rPr/>
            </w:pPr>
            <w:r>
              <w:rPr/>
              <w:t>as Guarantor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xml:space="preserve">By: </w:t>
            </w:r>
            <w:r>
              <w:rPr>
                <w:u w:val="single"/>
              </w:rPr>
              <w:t>/s/ Seth L. Kaplan      </w:t>
            </w:r>
          </w:p>
          <w:p>
            <w:pPr>
              <w:pStyle w:val="TableContents"/>
              <w:bidi w:val="0"/>
              <w:spacing w:before="0" w:after="0"/>
              <w:ind w:left="0" w:right="0" w:hanging="0"/>
              <w:jc w:val="left"/>
              <w:rPr/>
            </w:pPr>
            <w:r>
              <w:rPr/>
              <w:t>Name: Seth L. Kaplan</w:t>
            </w:r>
          </w:p>
          <w:p>
            <w:pPr>
              <w:pStyle w:val="TableContents"/>
              <w:bidi w:val="0"/>
              <w:spacing w:before="0" w:after="0"/>
              <w:ind w:left="0" w:right="0" w:hanging="0"/>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Indenture]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4145" w:type="dxa"/>
        <w:jc w:val="left"/>
        <w:tblInd w:w="0" w:type="dxa"/>
        <w:tblLayout w:type="fixed"/>
        <w:tblCellMar>
          <w:top w:w="0" w:type="dxa"/>
          <w:left w:w="0" w:type="dxa"/>
          <w:bottom w:w="0" w:type="dxa"/>
          <w:right w:w="0" w:type="dxa"/>
        </w:tblCellMar>
      </w:tblPr>
      <w:tblGrid>
        <w:gridCol w:w="75"/>
        <w:gridCol w:w="4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cornell real estate holdings, llc,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Seth L. Kaplan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Seth L. Kaplan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hunter fan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Seth L. Kaplan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Seth L. Kaplan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griffon ames holdco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Seth L. Kaplan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Seth L. Kaplan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Indenture]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6275" w:type="dxa"/>
        <w:jc w:val="left"/>
        <w:tblInd w:w="0" w:type="dxa"/>
        <w:tblLayout w:type="fixed"/>
        <w:tblCellMar>
          <w:top w:w="0" w:type="dxa"/>
          <w:left w:w="0" w:type="dxa"/>
          <w:bottom w:w="0" w:type="dxa"/>
          <w:right w:w="0" w:type="dxa"/>
        </w:tblCellMar>
      </w:tblPr>
      <w:tblGrid>
        <w:gridCol w:w="75"/>
        <w:gridCol w:w="970"/>
        <w:gridCol w:w="5230"/>
      </w:tblGrid>
      <w:tr>
        <w:trPr/>
        <w:tc>
          <w:tcPr>
            <w:tcW w:w="75" w:type="dxa"/>
            <w:tcBorders/>
            <w:vAlign w:val="center"/>
          </w:tcPr>
          <w:p>
            <w:pPr>
              <w:pStyle w:val="TableContents"/>
              <w:bidi w:val="0"/>
              <w:spacing w:before="0" w:after="283"/>
              <w:jc w:val="left"/>
              <w:rPr/>
            </w:pPr>
            <w:r>
              <w:rPr/>
              <w:t> </w:t>
            </w:r>
          </w:p>
        </w:tc>
        <w:tc>
          <w:tcPr>
            <w:tcW w:w="6200" w:type="dxa"/>
            <w:gridSpan w:val="2"/>
            <w:tcBorders/>
            <w:vAlign w:val="center"/>
          </w:tcPr>
          <w:p>
            <w:pPr>
              <w:pStyle w:val="TableContents"/>
              <w:bidi w:val="0"/>
              <w:spacing w:before="0" w:after="283"/>
              <w:jc w:val="left"/>
              <w:rPr/>
            </w:pPr>
            <w:r>
              <w:rPr>
                <w:b/>
                <w:caps/>
              </w:rPr>
              <w:t>computershare trust company, n.a.</w:t>
            </w:r>
            <w:r>
              <w:rPr/>
              <w:t>, as Trustee</w:t>
            </w:r>
          </w:p>
        </w:tc>
      </w:tr>
      <w:tr>
        <w:trPr/>
        <w:tc>
          <w:tcPr>
            <w:tcW w:w="75" w:type="dxa"/>
            <w:tcBorders/>
            <w:vAlign w:val="center"/>
          </w:tcPr>
          <w:p>
            <w:pPr>
              <w:pStyle w:val="TableContents"/>
              <w:bidi w:val="0"/>
              <w:spacing w:before="0" w:after="283"/>
              <w:jc w:val="left"/>
              <w:rPr/>
            </w:pPr>
            <w:r>
              <w:rPr/>
              <w:t> </w:t>
            </w:r>
          </w:p>
        </w:tc>
        <w:tc>
          <w:tcPr>
            <w:tcW w:w="62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By:  </w:t>
            </w:r>
          </w:p>
        </w:tc>
        <w:tc>
          <w:tcPr>
            <w:tcW w:w="5230" w:type="dxa"/>
            <w:tcBorders/>
            <w:vAlign w:val="center"/>
          </w:tcPr>
          <w:p>
            <w:pPr>
              <w:pStyle w:val="TableContents"/>
              <w:bidi w:val="0"/>
              <w:spacing w:before="0" w:after="283"/>
              <w:jc w:val="left"/>
              <w:rPr>
                <w:u w:val="single"/>
              </w:rPr>
            </w:pPr>
            <w:r>
              <w:rPr>
                <w:u w:val="single"/>
              </w:rPr>
              <w:t>/s/ Corey J. Dahlstrand</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230" w:type="dxa"/>
            <w:tcBorders/>
            <w:vAlign w:val="center"/>
          </w:tcPr>
          <w:p>
            <w:pPr>
              <w:pStyle w:val="TableContents"/>
              <w:bidi w:val="0"/>
              <w:spacing w:before="0" w:after="283"/>
              <w:jc w:val="left"/>
              <w:rPr/>
            </w:pPr>
            <w:r>
              <w:rPr/>
              <w:t>Name: Corey J. Dahlstrand</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23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Indenture]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[Face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the Global Note Legend, if applicable pursuant to the provisions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the Private Placement Legend, if applicable pursuant to the provisions of the Indenture]</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144A][REGULATION S]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6.250% Senior Notes due 2034</w:t>
      </w:r>
    </w:p>
    <w:p>
      <w:pPr>
        <w:pStyle w:val="TextBody"/>
        <w:bidi w:val="0"/>
        <w:spacing w:before="0" w:after="0"/>
        <w:ind w:left="0" w:right="0" w:hanging="0"/>
        <w:jc w:val="center"/>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860"/>
        <w:gridCol w:w="1970"/>
      </w:tblGrid>
      <w:tr>
        <w:trPr/>
        <w:tc>
          <w:tcPr>
            <w:tcW w:w="860" w:type="dxa"/>
            <w:tcBorders/>
            <w:vAlign w:val="center"/>
          </w:tcPr>
          <w:p>
            <w:pPr>
              <w:pStyle w:val="TableContents"/>
              <w:bidi w:val="0"/>
              <w:spacing w:before="0" w:after="283"/>
              <w:jc w:val="left"/>
              <w:rPr/>
            </w:pPr>
            <w:r>
              <w:rPr/>
              <w:t xml:space="preserve">No. ___ </w:t>
            </w:r>
          </w:p>
        </w:tc>
        <w:tc>
          <w:tcPr>
            <w:tcW w:w="1970" w:type="dxa"/>
            <w:tcBorders/>
            <w:vAlign w:val="center"/>
          </w:tcPr>
          <w:p>
            <w:pPr>
              <w:pStyle w:val="TableContents"/>
              <w:bidi w:val="0"/>
              <w:spacing w:before="0" w:after="283"/>
              <w:jc w:val="right"/>
              <w:rPr/>
            </w:pPr>
            <w:r>
              <w:rPr/>
              <w:t>[$______________]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GRIFFON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CEDE &amp; CO. or registered assigns, the principal sum [set forth on the Schedule of Exchanges of Interests in the Global Note attached hereto] [of ________________________ United States Dollars] on October 1,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 and October 1</w:t>
        <w:br/>
        <w:t>Record Dates: March 15 and September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2" w:space="1" w:color="000000"/>
        </w:rPr>
      </w:pPr>
      <w:r>
        <w:rPr>
          <w:bdr w:val="single" w:sz="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25"/>
        <w:gridCol w:w="4085"/>
      </w:tblGrid>
      <w:tr>
        <w:trPr/>
        <w:tc>
          <w:tcPr>
            <w:tcW w:w="125" w:type="dxa"/>
            <w:tcBorders/>
            <w:vAlign w:val="center"/>
          </w:tcPr>
          <w:p>
            <w:pPr>
              <w:pStyle w:val="TableContents"/>
              <w:bidi w:val="0"/>
              <w:spacing w:before="0" w:after="283"/>
              <w:jc w:val="left"/>
              <w:rPr>
                <w:position w:val="8"/>
                <w:sz w:val="19"/>
              </w:rPr>
            </w:pPr>
            <w:r>
              <w:rPr>
                <w:position w:val="8"/>
                <w:sz w:val="19"/>
              </w:rPr>
              <w:t>1</w:t>
            </w:r>
          </w:p>
        </w:tc>
        <w:tc>
          <w:tcPr>
            <w:tcW w:w="4085" w:type="dxa"/>
            <w:tcBorders/>
            <w:vAlign w:val="center"/>
          </w:tcPr>
          <w:p>
            <w:pPr>
              <w:pStyle w:val="TableContents"/>
              <w:bidi w:val="0"/>
              <w:spacing w:before="0" w:after="283"/>
              <w:jc w:val="left"/>
              <w:rPr/>
            </w:pPr>
            <w:r>
              <w:rPr/>
              <w:t>Rule 144A Note CUSIP: 398433 AR3</w:t>
            </w:r>
          </w:p>
        </w:tc>
      </w:tr>
      <w:tr>
        <w:trPr/>
        <w:tc>
          <w:tcPr>
            <w:tcW w:w="12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Rule 144A Note ISIN: US398433AR38</w:t>
            </w:r>
          </w:p>
        </w:tc>
      </w:tr>
      <w:tr>
        <w:trPr/>
        <w:tc>
          <w:tcPr>
            <w:tcW w:w="12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Regulation S Note CUSIP: U0390D AJ5</w:t>
            </w:r>
          </w:p>
        </w:tc>
      </w:tr>
      <w:tr>
        <w:trPr/>
        <w:tc>
          <w:tcPr>
            <w:tcW w:w="12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Regulation S Note ISIN: USU0390DAJ55</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p>
      <w:pPr>
        <w:pStyle w:val="TextBody"/>
        <w:bidi w:val="0"/>
        <w:spacing w:before="0" w:after="0"/>
        <w:ind w:left="4608" w:right="0" w:hanging="288"/>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970"/>
        <w:gridCol w:w="1929"/>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GRIFFON CORPORATION</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By:  </w:t>
            </w:r>
          </w:p>
        </w:tc>
        <w:tc>
          <w:tcPr>
            <w:tcW w:w="192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Title:</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75"/>
        <w:gridCol w:w="1134"/>
        <w:gridCol w:w="4855"/>
      </w:tblGrid>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COMPUTERSHARE TRUST COMPANY, N.A., as Trustee</w:t>
            </w:r>
          </w:p>
        </w:tc>
      </w:tr>
      <w:tr>
        <w:trPr/>
        <w:tc>
          <w:tcPr>
            <w:tcW w:w="7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By:  </w:t>
            </w:r>
          </w:p>
        </w:tc>
        <w:tc>
          <w:tcPr>
            <w:tcW w:w="485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before="0" w:after="283"/>
              <w:jc w:val="center"/>
              <w:rPr/>
            </w:pPr>
            <w:r>
              <w:rPr/>
              <w:t>Authorized Signatory</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[Back of Note]</w:t>
        <w:br/>
        <w:br/>
        <w:t>6.250% Senior Notes due 2034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Griffon Corporation, a Delaware corporation (the “Issuer”), promises to pay interest on the principal amount of this Note at 6.250% per annum from August 18, 2026 until maturity. The Issuer will pay interest semi-annually in arrears on April 1 and October 1 of each year, or if any such day is not a Business Day, on the next succeeding Business Day (each, an “Interest Payment Date”). Interest on the Notes will accrue from the most recent date to which interest has been paid or, if no interest has been paid, from the date of issuance; provided that the first Interest Payment Date shall be [April 1, 2027]</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Issuer shall pay interest (including post-petition interest in any proceeding under any Bankruptcy Law) on overdue principal at the rate equal to the then applicable interest rate on the Notes to the extent lawful; and shall pay interest (including post-petition interest in any proceeding under any Bankruptcy Law) on overdue installments of interest (without regard to any applicable grace period) at the same rate to the extent lawful. Interest will be computed on the basis of a 360-day year comprised of twelve 30-day months.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will pay interest on the Notes to the Persons who are registered Holders of Notes at the close of business on the March 15 or September 15 (whether or not a Business Day), as the case may be, next preceding the Interest Payment Date, even if such Notes are canceled after such record date and on or before such Interest Payment Date, except as provided in Section 2.12 payment of the Indenture with respect to defaulted interest, except that at the option of the Issuer, payment of interest may be made by check mailed to the Holders at their addresses set forth in the register of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at least five Business Days in advance of the applicable Interest Payment Date. Such payment shall be in such coin or currency of the United States of America as at the time of payment is legal tender for payment of public and private debts.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Computershare Trust Company, N.A., the Trustee under the Indenture, will act as Paying Agent and Registrar. The Issuer may change any Paying Agent or Registrar without notice to the Holders. The Issuer or any of its Subsidiaries may act in any such capacity.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August 18,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Griffon Corporation, the Guarantors named on the signature pages thereto and the Trustee. This Note is one of a duly authorized issue of notes of the Issuer designated as its 6.250% Senior Notes due 2034. The Issuer shall be entitled to issue Additional Notes pursuant to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left"/>
        <w:rPr>
          <w:bdr w:val="single" w:sz="2" w:space="1" w:color="000000"/>
        </w:rPr>
      </w:pPr>
      <w:r>
        <w:rPr>
          <w:bdr w:val="single" w:sz="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25"/>
        <w:gridCol w:w="4460"/>
      </w:tblGrid>
      <w:tr>
        <w:trPr/>
        <w:tc>
          <w:tcPr>
            <w:tcW w:w="125" w:type="dxa"/>
            <w:tcBorders/>
            <w:vAlign w:val="center"/>
          </w:tcPr>
          <w:p>
            <w:pPr>
              <w:pStyle w:val="TableContents"/>
              <w:bidi w:val="0"/>
              <w:spacing w:before="0" w:after="283"/>
              <w:jc w:val="left"/>
              <w:rPr>
                <w:position w:val="8"/>
                <w:sz w:val="19"/>
              </w:rPr>
            </w:pPr>
            <w:r>
              <w:rPr>
                <w:position w:val="8"/>
                <w:sz w:val="19"/>
              </w:rPr>
              <w:t>2</w:t>
            </w:r>
          </w:p>
        </w:tc>
        <w:tc>
          <w:tcPr>
            <w:tcW w:w="4460" w:type="dxa"/>
            <w:tcBorders/>
            <w:vAlign w:val="center"/>
          </w:tcPr>
          <w:p>
            <w:pPr>
              <w:pStyle w:val="TableContents"/>
              <w:bidi w:val="0"/>
              <w:spacing w:before="0" w:after="283"/>
              <w:jc w:val="left"/>
              <w:rPr/>
            </w:pPr>
            <w:r>
              <w:rPr/>
              <w:t>With respect to Notes issued on the Issue Date.</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below under clauses 5(b) and 5(d) hereof, the Notes will not be redeemable at the Issuer’s option before October 1, 2029.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October 1, 2029, the Issuer may redeem all or a part of the Notes, upon not less than 10 nor more than 60 days’ prior notice mailed by first-class mail to each Holder of Notes to be redeemed at such Holder’s registered address, at a redemption price equal to 100% of the principal amount of the Notes redeemed plus the Applicable Premium as of, and accrued and unpaid interest, if any, to the date of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subject to the rights of Holders of Notes on the relevant Record Date to receive interest due on the relevant Interest Payment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and after October 1, 2029, the Issuer may redeem the Notes, in whole or in part, upon not less than 10 nor more than 60 days’ prior notice mailed by first-class mail to each Holder of Notes to be redeemed at such Holder’s registered address, at the redemption prices (expressed as percentages of principal amount of the Notes to be redeemed) set forth below, plus accrued and unpaid interest, if any, thereon to the applicable Redemption Date, subject to the right of Holders of Notes of record on the relevant Record Date to receive interest due on the relevant Interest Payment Date, if redeemed during the twelve-month period beginning on October 1 of each of the years indicated below:</w:t>
      </w:r>
    </w:p>
    <w:p>
      <w:pPr>
        <w:pStyle w:val="TextBody"/>
        <w:bidi w:val="0"/>
        <w:spacing w:before="0" w:after="0"/>
        <w:ind w:left="0" w:right="0" w:firstLine="1440"/>
        <w:jc w:val="left"/>
        <w:rPr>
          <w:caps w:val="false"/>
          <w:smallCaps w:val="false"/>
        </w:rPr>
      </w:pPr>
      <w:r>
        <w:rPr>
          <w:caps w:val="false"/>
          <w:smallCaps w:val="false"/>
        </w:rPr>
        <w:t> </w:t>
      </w:r>
    </w:p>
    <w:tbl>
      <w:tblPr>
        <w:tblW w:w="3085" w:type="dxa"/>
        <w:jc w:val="left"/>
        <w:tblInd w:w="0" w:type="dxa"/>
        <w:tblLayout w:type="fixed"/>
        <w:tblCellMar>
          <w:top w:w="0" w:type="dxa"/>
          <w:left w:w="0" w:type="dxa"/>
          <w:bottom w:w="28" w:type="dxa"/>
          <w:right w:w="0" w:type="dxa"/>
        </w:tblCellMar>
      </w:tblPr>
      <w:tblGrid>
        <w:gridCol w:w="1865"/>
        <w:gridCol w:w="60"/>
        <w:gridCol w:w="1160"/>
      </w:tblGrid>
      <w:tr>
        <w:trPr/>
        <w:tc>
          <w:tcPr>
            <w:tcW w:w="1865" w:type="dxa"/>
            <w:tcBorders>
              <w:bottom w:val="single" w:sz="2" w:space="0" w:color="000000"/>
            </w:tcBorders>
            <w:vAlign w:val="center"/>
          </w:tcPr>
          <w:p>
            <w:pPr>
              <w:pStyle w:val="TableContents"/>
              <w:bidi w:val="0"/>
              <w:spacing w:before="0" w:after="0"/>
              <w:ind w:left="0" w:right="0" w:hanging="0"/>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b/>
              </w:rPr>
            </w:pPr>
            <w:r>
              <w:rPr>
                <w:b/>
              </w:rPr>
              <w:t>Percentage</w:t>
            </w:r>
          </w:p>
        </w:tc>
      </w:tr>
      <w:tr>
        <w:trPr/>
        <w:tc>
          <w:tcPr>
            <w:tcW w:w="1865" w:type="dxa"/>
            <w:tcBorders/>
            <w:shd w:fill="E5FFFF" w:val="clear"/>
            <w:tcMar>
              <w:bottom w:w="0" w:type="dxa"/>
            </w:tcMar>
            <w:vAlign w:val="center"/>
          </w:tcPr>
          <w:p>
            <w:pPr>
              <w:pStyle w:val="TableContents"/>
              <w:bidi w:val="0"/>
              <w:spacing w:before="0" w:after="283"/>
              <w:jc w:val="left"/>
              <w:rPr/>
            </w:pPr>
            <w:r>
              <w:rPr/>
              <w:t>2029</w:t>
            </w:r>
          </w:p>
        </w:tc>
        <w:tc>
          <w:tcPr>
            <w:tcW w:w="60" w:type="dxa"/>
            <w:tcBorders/>
            <w:shd w:fill="E5FFFF" w:val="clear"/>
            <w:tcMar>
              <w:bottom w:w="0" w:type="dxa"/>
            </w:tcMar>
            <w:vAlign w:val="center"/>
          </w:tcPr>
          <w:p>
            <w:pPr>
              <w:pStyle w:val="TableContents"/>
              <w:bidi w:val="0"/>
              <w:spacing w:before="0" w:after="283"/>
              <w:jc w:val="left"/>
              <w:rPr/>
            </w:pPr>
            <w:r>
              <w:rPr/>
              <w:t> </w:t>
            </w:r>
          </w:p>
        </w:tc>
        <w:tc>
          <w:tcPr>
            <w:tcW w:w="1160" w:type="dxa"/>
            <w:tcBorders/>
            <w:shd w:fill="E5FFFF" w:val="clear"/>
            <w:tcMar>
              <w:bottom w:w="0" w:type="dxa"/>
            </w:tcMar>
            <w:vAlign w:val="center"/>
          </w:tcPr>
          <w:p>
            <w:pPr>
              <w:pStyle w:val="TableContents"/>
              <w:bidi w:val="0"/>
              <w:spacing w:before="0" w:after="283"/>
              <w:jc w:val="right"/>
              <w:rPr/>
            </w:pPr>
            <w:r>
              <w:rPr/>
              <w:t>103.125%</w:t>
            </w:r>
          </w:p>
        </w:tc>
      </w:tr>
      <w:tr>
        <w:trPr/>
        <w:tc>
          <w:tcPr>
            <w:tcW w:w="186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101.563%</w:t>
            </w:r>
          </w:p>
        </w:tc>
      </w:tr>
      <w:tr>
        <w:trPr/>
        <w:tc>
          <w:tcPr>
            <w:tcW w:w="1865" w:type="dxa"/>
            <w:tcBorders/>
            <w:shd w:fill="E5FFFF" w:val="clear"/>
            <w:tcMar>
              <w:bottom w:w="0" w:type="dxa"/>
            </w:tcMar>
            <w:vAlign w:val="center"/>
          </w:tcPr>
          <w:p>
            <w:pPr>
              <w:pStyle w:val="TableContents"/>
              <w:bidi w:val="0"/>
              <w:spacing w:before="0" w:after="283"/>
              <w:jc w:val="left"/>
              <w:rPr/>
            </w:pPr>
            <w:r>
              <w:rPr/>
              <w:t>2031 and thereafter</w:t>
              <w:tab/>
            </w:r>
          </w:p>
        </w:tc>
        <w:tc>
          <w:tcPr>
            <w:tcW w:w="60" w:type="dxa"/>
            <w:tcBorders/>
            <w:shd w:fill="E5FFFF" w:val="clear"/>
            <w:tcMar>
              <w:bottom w:w="0" w:type="dxa"/>
            </w:tcMar>
            <w:vAlign w:val="center"/>
          </w:tcPr>
          <w:p>
            <w:pPr>
              <w:pStyle w:val="TableContents"/>
              <w:bidi w:val="0"/>
              <w:spacing w:before="0" w:after="283"/>
              <w:jc w:val="left"/>
              <w:rPr/>
            </w:pPr>
            <w:r>
              <w:rPr/>
              <w:t> </w:t>
            </w:r>
          </w:p>
        </w:tc>
        <w:tc>
          <w:tcPr>
            <w:tcW w:w="1160" w:type="dxa"/>
            <w:tcBorders/>
            <w:shd w:fill="E5FFFF" w:val="clear"/>
            <w:tcMar>
              <w:bottom w:w="0" w:type="dxa"/>
            </w:tcMar>
            <w:vAlign w:val="center"/>
          </w:tcPr>
          <w:p>
            <w:pPr>
              <w:pStyle w:val="TableContents"/>
              <w:bidi w:val="0"/>
              <w:spacing w:before="0" w:after="283"/>
              <w:jc w:val="right"/>
              <w:rPr/>
            </w:pPr>
            <w:r>
              <w:rPr/>
              <w:t>100.000%</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Until October 1, 2029, the Issuer may, at its option, on one or more occasions, redeem up to 40% of the aggregate principal amount of Notes at a redemption price equal to 106.250% of the aggregate principal amount thereof, plus accrued and unpaid interest, if any, to the applicable Redemption Date, subject to the right of Holders of Notes of record on the relevant record date to receive interest due on the relevant interest payment date, with the net cash proceeds of one or more Equity Offerings;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least 60% of the sum of the original aggregate principal amount of Notes issued under this Indenture and the original principal amount of any Additional Notes issued under the Indenture after the Issue Date remains outstanding immediately after the occurrence of each such redemption;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each such redemption occurs within 90 days of the date of closing of each such Equity Offering.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redemption may, at the Issuer’s discretion, be subject to one or more conditions precedent, which shall be set forth in the related notice of redemption, including, but not limited to, completion of an Equity Offering, other offering or other transaction or event. In addition, if such redemption or purchase is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redemption pursuant to this paragraph 5 shall be made pursuant to the provisions of Sections 3.01 through 3.06 of the Indenture.</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 The Issuer shall not be required to make mandatory redemption or sinking fund payments with respect to the Notes.</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NOTICE OF REDEMPTION. Subject to Section 3.03 of the Indenture, notice of redemption will be mailed by first-class mail at least 10 days but not more than 60 days before the redemption date (except that redemption notices may be mailed more than 60 days prior to a Redemption Date if the notice is issued in connection with Article VIII or Article XI of the Indenture) to each Holder whose Notes are to be redeemed at its registered address. Notes in denominations larger than $2,000 may be redeemed in part but only in amounts of $2,000 or whole multiples of $1,000 in excess thereof, unless all of the Notes held by a Holder are to be redeemed. On and after the redemption date interest ceases to accrue on Notes or portions thereof called for redemption. Redemption amounts shall only be paid upon presentation and surrender of any such Notes to be redeemed. Payment of the redemption price and performance of the Issuer’s obligations in connection with any redemption may be performed by another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OFFERS TO REPURCHASE.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the Issuer shall make an offer (a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 to each Holder to repurchase all or any part (equal to $2,000 or an integral multiple of $1,000 in excess thereof) of each Holder’s Notes at a purchase price equal to 101% of the aggregate principal amount thereof plus accrued and unpaid interest, if any, to the date of purchase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The Change of Control Offer shall be made in accordance with Section 4.14 of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w:t>
      </w:r>
      <w:r>
        <w:rPr>
          <w:rFonts w:ascii="Times New Roman;Times;Serif" w:hAnsi="Times New Roman;Times;Serif"/>
          <w:b w:val="false"/>
          <w:i w:val="false"/>
          <w:caps w:val="false"/>
          <w:smallCaps w:val="false"/>
          <w:spacing w:val="-6"/>
          <w:sz w:val="20"/>
        </w:rPr>
        <w:t>Issuer is</w:t>
      </w:r>
      <w:r>
        <w:rPr>
          <w:rFonts w:ascii="Times New Roman;Times;Serif" w:hAnsi="Times New Roman;Times;Serif"/>
          <w:b w:val="false"/>
          <w:i w:val="false"/>
          <w:caps w:val="false"/>
          <w:smallCaps w:val="false"/>
          <w:sz w:val="20"/>
        </w:rPr>
        <w:t>, subject to certain conditions and exceptions, obligated to make an offer to purchase Notes and certain other Pari Passu Indebtedness at 100% of their principal amount, plus accrued and unpaid interest, if any, thereon to the date of repurchase, with certain Excess Proceeds of Asset Sales in accordance with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a minimum amount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the mailing of a notice of redemption of Notes to be redeemed or any Notes selected for redemption or tendered (and not withdrawn) for repurchase in connection with a Change of Control Offer or Asset Sale Offer.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The Indenture, the Guarantees or the Notes may be amended or supplemented as provided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DEFAULTS AND REMEDIES. The Events of Default relating to the Notes are defined in Section 6.01 of the Indenture. If any Event of Default occurs and is continuing, the Trustee or the Holders of at least 25% in principal amount of the then outstanding Notes may declare the principal, premium, if any, interest and any other monetary obligations on all the then outstanding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the Notes or the Guarantees</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(except a Default relating to the payment of principal, premium, if any, or interest) if it determines that withholding notice is in their interest. The Holders of a majority in aggregate principal amount of the Notes then outstanding by written notice to the Trustee may on behalf of the Holders of all of the Notes waive any existing Default or Event of Default and its consequences under the Indenture except a continuing Default in payment of the principal of, premium, if any, or interest on, any of the Notes held by a non-consenting Holder. The Issuer and each Guarantor are required to deliver to the Trustee annually a statement regarding compliance with the Indenture, and the Issuer is required within 60 days after becoming aware of any Default, to deliver to the Trustee an Officer’s Certificate specifying such Default and what action the Issuer proposes to take with respect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AUTHENTICATION. This Note shall not be entitled to any benefit under the Indenture or be valid or obligatory for any purpose until authenticated by the manual signature of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GOVERNING LAW. THE LAWS OF THE STATE OF NEW YORK SHALL GOVERN AND BE USED TO CONSTRUE THE INDENTURE, THE NOTES AND THE GUARANTEES, WITHOUT REGARD TO CONFLICTS OF LAWS PRINCIPLES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Indenture. Requests may be made to the Issuer at the following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Fifth Avenue, 18th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br/>
        <w:t>Fax: (212) 957-5040</w:t>
        <w:br/>
        <w:t>Attention: General Counsel</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firstLine="144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3500"/>
        <w:gridCol w:w="2405"/>
      </w:tblGrid>
      <w:tr>
        <w:trPr/>
        <w:tc>
          <w:tcPr>
            <w:tcW w:w="3500" w:type="dxa"/>
            <w:tcBorders/>
            <w:vAlign w:val="center"/>
          </w:tcPr>
          <w:p>
            <w:pPr>
              <w:pStyle w:val="TableContents"/>
              <w:bidi w:val="0"/>
              <w:spacing w:before="0" w:after="283"/>
              <w:jc w:val="left"/>
              <w:rPr>
                <w:sz w:val="20"/>
              </w:rPr>
            </w:pPr>
            <w:r>
              <w:rPr>
                <w:sz w:val="20"/>
              </w:rPr>
              <w:t>(I) or (we) assign and transfer this Note to:  </w:t>
            </w:r>
          </w:p>
        </w:tc>
        <w:tc>
          <w:tcPr>
            <w:tcW w:w="24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sz w:val="20"/>
              </w:rPr>
            </w:pPr>
            <w:r>
              <w:rPr>
                <w:sz w:val="20"/>
              </w:rPr>
              <w:t>(Insert assignee’s legal name)</w:t>
            </w:r>
          </w:p>
        </w:tc>
      </w:tr>
    </w:tbl>
    <w:p>
      <w:pPr>
        <w:pStyle w:val="TextBody"/>
        <w:bidi w:val="0"/>
        <w:spacing w:before="0" w:after="0"/>
        <w:ind w:left="0" w:right="0" w:firstLine="4950"/>
        <w:jc w:val="center"/>
        <w:rPr>
          <w:caps w:val="false"/>
          <w:smallCaps w:val="false"/>
        </w:rPr>
      </w:pPr>
      <w:r>
        <w:rPr>
          <w:caps w:val="false"/>
          <w:smallCaps w:val="false"/>
        </w:rPr>
        <w:t> </w:t>
      </w:r>
    </w:p>
    <w:tbl>
      <w:tblPr>
        <w:tblW w:w="3335" w:type="dxa"/>
        <w:jc w:val="left"/>
        <w:tblInd w:w="0" w:type="dxa"/>
        <w:tblLayout w:type="fixed"/>
        <w:tblCellMar>
          <w:top w:w="28" w:type="dxa"/>
          <w:left w:w="0" w:type="dxa"/>
          <w:bottom w:w="0" w:type="dxa"/>
          <w:right w:w="0" w:type="dxa"/>
        </w:tblCellMar>
      </w:tblPr>
      <w:tblGrid>
        <w:gridCol w:w="3335"/>
      </w:tblGrid>
      <w:tr>
        <w:trPr/>
        <w:tc>
          <w:tcPr>
            <w:tcW w:w="3335" w:type="dxa"/>
            <w:tcBorders>
              <w:top w:val="single" w:sz="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c>
      </w:tr>
      <w:tr>
        <w:trPr/>
        <w:tc>
          <w:tcPr>
            <w:tcW w:w="3335" w:type="dxa"/>
            <w:tcBorders>
              <w:bottom w:val="single" w:sz="2"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bottom w:val="single" w:sz="2"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bottom w:val="single" w:sz="2"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bottom w:val="single" w:sz="2"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655"/>
        <w:gridCol w:w="5720"/>
      </w:tblGrid>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ind w:left="0" w:right="0" w:hanging="0"/>
              <w:jc w:val="left"/>
              <w:rPr/>
            </w:pPr>
            <w:r>
              <w:rPr/>
              <w:t>Your Signature:  </w:t>
            </w:r>
          </w:p>
        </w:tc>
        <w:tc>
          <w:tcPr>
            <w:tcW w:w="572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4.10 or 4.14 of the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Section 4.10        [   ] Section 4.14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this Note purchased by the Issuer pursuant to Section 4.10 or Section 4.14 of the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w:t>
      </w:r>
    </w:p>
    <w:p>
      <w:pPr>
        <w:pStyle w:val="TextBody"/>
        <w:bidi w:val="0"/>
        <w:spacing w:before="0" w:after="0"/>
        <w:ind w:left="0" w:right="0" w:hanging="0"/>
        <w:jc w:val="left"/>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75"/>
        <w:gridCol w:w="1655"/>
        <w:gridCol w:w="2538"/>
        <w:gridCol w:w="3181"/>
      </w:tblGrid>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ind w:left="0" w:right="0" w:hanging="0"/>
              <w:jc w:val="left"/>
              <w:rPr/>
            </w:pPr>
            <w:r>
              <w:rPr/>
              <w:t>Your Signature:  </w:t>
            </w:r>
          </w:p>
        </w:tc>
        <w:tc>
          <w:tcPr>
            <w:tcW w:w="5719" w:type="dxa"/>
            <w:gridSpan w:val="2"/>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jc w:val="left"/>
              <w:rPr/>
            </w:pPr>
            <w:r>
              <w:rPr/>
              <w:t> </w:t>
            </w:r>
          </w:p>
        </w:tc>
        <w:tc>
          <w:tcPr>
            <w:tcW w:w="5719" w:type="dxa"/>
            <w:gridSpan w:val="2"/>
            <w:tcBorders/>
            <w:vAlign w:val="center"/>
          </w:tcPr>
          <w:p>
            <w:pPr>
              <w:pStyle w:val="TableContents"/>
              <w:bidi w:val="0"/>
              <w:spacing w:before="0" w:after="283"/>
              <w:jc w:val="left"/>
              <w:rPr/>
            </w:pPr>
            <w:r>
              <w:rPr/>
              <w:t>(Sign exactly as your name appears on the face of this Note)</w:t>
            </w:r>
          </w:p>
        </w:tc>
      </w:tr>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jc w:val="left"/>
              <w:rPr/>
            </w:pPr>
            <w:r>
              <w:rPr/>
              <w:t> </w:t>
            </w:r>
          </w:p>
        </w:tc>
        <w:tc>
          <w:tcPr>
            <w:tcW w:w="57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3" w:type="dxa"/>
            <w:gridSpan w:val="2"/>
            <w:tcBorders/>
            <w:vAlign w:val="center"/>
          </w:tcPr>
          <w:p>
            <w:pPr>
              <w:pStyle w:val="TableContents"/>
              <w:bidi w:val="0"/>
              <w:spacing w:before="0" w:after="283"/>
              <w:ind w:left="0" w:right="0" w:hanging="0"/>
              <w:jc w:val="left"/>
              <w:rPr/>
            </w:pPr>
            <w:r>
              <w:rPr/>
              <w:t>Tax Identification No.:  </w:t>
            </w:r>
          </w:p>
        </w:tc>
        <w:tc>
          <w:tcPr>
            <w:tcW w:w="3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655" w:type="dxa"/>
            <w:tcBorders/>
            <w:vAlign w:val="center"/>
          </w:tcPr>
          <w:p>
            <w:pPr>
              <w:pStyle w:val="TableContents"/>
              <w:bidi w:val="0"/>
              <w:spacing w:before="0" w:after="283"/>
              <w:ind w:left="0" w:right="0" w:hanging="0"/>
              <w:jc w:val="left"/>
              <w:rPr/>
            </w:pPr>
            <w:r>
              <w:rPr/>
              <w:t> </w:t>
            </w:r>
          </w:p>
        </w:tc>
        <w:tc>
          <w:tcPr>
            <w:tcW w:w="2538" w:type="dxa"/>
            <w:tcBorders/>
            <w:vAlign w:val="center"/>
          </w:tcPr>
          <w:p>
            <w:pPr>
              <w:pStyle w:val="TableContents"/>
              <w:bidi w:val="0"/>
              <w:spacing w:before="0" w:after="283"/>
              <w:ind w:left="0" w:right="0" w:hanging="0"/>
              <w:jc w:val="left"/>
              <w:rPr/>
            </w:pPr>
            <w:r>
              <w:rPr/>
              <w:t> </w:t>
            </w:r>
          </w:p>
        </w:tc>
        <w:tc>
          <w:tcPr>
            <w:tcW w:w="31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SCHEDULE OF EXCHANGES OF INTERESTS IN THE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outstanding principal amount of this Global Note is $__________. The following exchanges of a part of this Global Note for an interest in another Global Note or for a Definitive Note, or exchanges of a part of another Global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6475" w:type="dxa"/>
        <w:jc w:val="left"/>
        <w:tblInd w:w="0" w:type="dxa"/>
        <w:tblLayout w:type="fixed"/>
        <w:tblCellMar>
          <w:top w:w="0" w:type="dxa"/>
          <w:left w:w="0" w:type="dxa"/>
          <w:bottom w:w="28" w:type="dxa"/>
          <w:right w:w="0" w:type="dxa"/>
        </w:tblCellMar>
      </w:tblPr>
      <w:tblGrid>
        <w:gridCol w:w="845"/>
        <w:gridCol w:w="60"/>
        <w:gridCol w:w="1280"/>
        <w:gridCol w:w="60"/>
        <w:gridCol w:w="1595"/>
        <w:gridCol w:w="60"/>
        <w:gridCol w:w="1460"/>
        <w:gridCol w:w="60"/>
        <w:gridCol w:w="1055"/>
      </w:tblGrid>
      <w:tr>
        <w:trPr/>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br/>
              <w:t>Exchange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w:t>
              <w:br/>
              <w:t>in Principal</w:t>
              <w:br/>
              <w:t xml:space="preserve">Amount of this </w:t>
              <w:br/>
              <w:t>Global Note</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increase</w:t>
              <w:br/>
              <w:t>in Principal</w:t>
              <w:br/>
              <w:t>Amount of this</w:t>
              <w:br/>
              <w:t>Global Note</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br/>
              <w:t>of</w:t>
              <w:br/>
              <w:t>this Global Note</w:t>
              <w:br/>
              <w:t>following such</w:t>
              <w:br/>
              <w:t>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authorized</w:t>
              <w:br/>
              <w:t>signatory</w:t>
              <w:br/>
              <w:t>of Trustee or</w:t>
              <w:br/>
              <w:t>Custodian</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r>
        <w:trPr/>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should be included only if the Note is issued in global form.</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FORM OF CERTIFICATE OF TRANSFER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w:t>
        <w:br/>
        <w:t>712 Fifth Avenue, 18th Floor</w:t>
        <w:br/>
        <w:t>New York, New York 10019</w:t>
        <w:br/>
        <w:t>Fax: (212) 957-5040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Trust Services - DAPS Reorg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 Energy Park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1-800-344-5128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color w:val="0000FF"/>
          <w:sz w:val="20"/>
          <w:u w:val="single"/>
        </w:rPr>
        <w:t>CCTBondholderCommunications@computershare.com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6.250% Senior Notes due 2034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August 18,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Griffon Corporation, the Guarantors named on the signature pages thereto and the Trustee. Capitalized terms used but not defined herein shall have the meanings given to them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 in such Note[s] or interests (the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to _______________ (the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[CHECK ALL THAT APPLY]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 CHECK IF TRANSFEREE WILL TAKE DELIVERY OF A BENEFICIAL INTEREST IN THE REGULATION S GLOBAL NOTE OR A DEFINITIVE NOTE PURSUANT TO REGULATION S. The Transfer is being effected pursuant to and in accordance with Rule 903 or Rule 904 promulgated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(ii) no directed selling efforts have been made in contravention of the requirements of Rule 903(b) or Rule 904(b) of Regulation S promulgated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 CHECK AND COMPLETE IF TRANSFEREE WILL TAKE DELIVERY OF A BENEFICIAL INTEREST IN THE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such Transfer is being effected pursuant to and in accordance with Rule 144 promulgated under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such Transfer is being effected to the Issuer or a subsidiary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such Transfer is being effected pursuant to an effective registration statement under the Securities Act and in compliance with the prospectus delivery requirements of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 CHECK IF TRANSFEREE WILL TAKE DELIVERY OF A BENEFICIAL INTEREST IN AN UNRESTRICTED GLOBAL NOTE OR OF AN UNRESTRICTED DEFINITIVE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TRANSFER IS PURSUANT TO RULE 144. (i) The Transfer is being effected pursuant to and in accordance with Rule 144 promulgated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  ] CHECK IF TRANSFER IS PURSUANT TO REGULATION S. (i) The Transfer is being effected pursuant to and in accordance with Rule 903 or Rule 904 promulgated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 enumerated in the Private Placement Legend printed on the Restricted Global Notes, on Restricted Definitive Notes and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firstLine="144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1115"/>
        <w:gridCol w:w="1529"/>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[Insert Name of Transferor]</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By:  </w:t>
            </w:r>
          </w:p>
        </w:tc>
        <w:tc>
          <w:tcPr>
            <w:tcW w:w="152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ANNEX A TO CERTIFICATE OF TRANSFER</w:t>
      </w:r>
    </w:p>
    <w:p>
      <w:pPr>
        <w:pStyle w:val="TextBody"/>
        <w:bidi w:val="0"/>
        <w:spacing w:before="0" w:after="0"/>
        <w:ind w:left="0" w:right="0" w:hanging="0"/>
        <w:jc w:val="right"/>
        <w:rPr>
          <w:caps w:val="false"/>
          <w:smallCaps w:val="false"/>
        </w:rPr>
      </w:pPr>
      <w:r>
        <w:rPr>
          <w:caps w:val="false"/>
          <w:smallCaps w:val="false"/>
        </w:rPr>
        <w:t> </w:t>
      </w:r>
    </w:p>
    <w:tbl>
      <w:tblPr>
        <w:tblW w:w="8109" w:type="dxa"/>
        <w:jc w:val="left"/>
        <w:tblInd w:w="0" w:type="dxa"/>
        <w:tblLayout w:type="fixed"/>
        <w:tblCellMar>
          <w:top w:w="0" w:type="dxa"/>
          <w:left w:w="0" w:type="dxa"/>
          <w:bottom w:w="0" w:type="dxa"/>
          <w:right w:w="0" w:type="dxa"/>
        </w:tblCellMar>
      </w:tblPr>
      <w:tblGrid>
        <w:gridCol w:w="60"/>
        <w:gridCol w:w="290"/>
        <w:gridCol w:w="459"/>
        <w:gridCol w:w="730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759" w:type="dxa"/>
            <w:gridSpan w:val="2"/>
            <w:tcBorders/>
            <w:vAlign w:val="center"/>
          </w:tcPr>
          <w:p>
            <w:pPr>
              <w:pStyle w:val="TableContents"/>
              <w:bidi w:val="0"/>
              <w:spacing w:before="0" w:after="283"/>
              <w:jc w:val="left"/>
              <w:rPr/>
            </w:pPr>
            <w:r>
              <w:rPr/>
              <w:t>The Transferor owns and proposes to transfer the following:</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8109" w:type="dxa"/>
            <w:gridSpan w:val="4"/>
            <w:tcBorders/>
            <w:vAlign w:val="center"/>
          </w:tcPr>
          <w:p>
            <w:pPr>
              <w:pStyle w:val="TableContents"/>
              <w:bidi w:val="0"/>
              <w:spacing w:before="0" w:after="283"/>
              <w:jc w:val="center"/>
              <w:rPr/>
            </w:pPr>
            <w:r>
              <w:rPr/>
              <w:t>[CHECK ONE OF (a) OR (b)]</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(a)</w:t>
            </w:r>
          </w:p>
        </w:tc>
        <w:tc>
          <w:tcPr>
            <w:tcW w:w="7759" w:type="dxa"/>
            <w:gridSpan w:val="2"/>
            <w:tcBorders/>
            <w:vAlign w:val="center"/>
          </w:tcPr>
          <w:p>
            <w:pPr>
              <w:pStyle w:val="TableContents"/>
              <w:bidi w:val="0"/>
              <w:spacing w:before="0" w:after="283"/>
              <w:jc w:val="left"/>
              <w:rPr/>
            </w:pPr>
            <w:r>
              <w:rPr/>
              <w:t>[  ] a beneficial interest in the:</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(i)</w:t>
            </w:r>
          </w:p>
        </w:tc>
        <w:tc>
          <w:tcPr>
            <w:tcW w:w="7300" w:type="dxa"/>
            <w:tcBorders/>
            <w:vAlign w:val="center"/>
          </w:tcPr>
          <w:p>
            <w:pPr>
              <w:pStyle w:val="TableContents"/>
              <w:bidi w:val="0"/>
              <w:spacing w:before="0" w:after="283"/>
              <w:jc w:val="left"/>
              <w:rPr/>
            </w:pPr>
            <w:r>
              <w:rPr/>
              <w:t>[  ] 144A Global Note (CUSIP [                     ]),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(ii)</w:t>
            </w:r>
          </w:p>
        </w:tc>
        <w:tc>
          <w:tcPr>
            <w:tcW w:w="7300" w:type="dxa"/>
            <w:tcBorders/>
            <w:vAlign w:val="center"/>
          </w:tcPr>
          <w:p>
            <w:pPr>
              <w:pStyle w:val="TableContents"/>
              <w:bidi w:val="0"/>
              <w:spacing w:before="0" w:after="283"/>
              <w:jc w:val="left"/>
              <w:rPr/>
            </w:pPr>
            <w:r>
              <w:rPr/>
              <w:t>[  ] Regulation S Global Note (CUSIP [                      ]),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759" w:type="dxa"/>
            <w:gridSpan w:val="2"/>
            <w:tcBorders/>
            <w:vAlign w:val="center"/>
          </w:tcPr>
          <w:p>
            <w:pPr>
              <w:pStyle w:val="TableContents"/>
              <w:bidi w:val="0"/>
              <w:spacing w:before="0" w:after="283"/>
              <w:jc w:val="left"/>
              <w:rPr/>
            </w:pPr>
            <w:r>
              <w:rPr/>
              <w:t>[  ] a Restricted Definitive Note.</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7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7759" w:type="dxa"/>
            <w:gridSpan w:val="2"/>
            <w:tcBorders/>
            <w:vAlign w:val="center"/>
          </w:tcPr>
          <w:p>
            <w:pPr>
              <w:pStyle w:val="TableContents"/>
              <w:bidi w:val="0"/>
              <w:spacing w:before="0" w:after="283"/>
              <w:jc w:val="left"/>
              <w:rPr/>
            </w:pPr>
            <w:r>
              <w:rPr/>
              <w:t>After the Transfer the Transferee will hold:</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759" w:type="dxa"/>
            <w:gridSpan w:val="2"/>
            <w:tcBorders/>
            <w:vAlign w:val="center"/>
          </w:tcPr>
          <w:p>
            <w:pPr>
              <w:pStyle w:val="TableContents"/>
              <w:bidi w:val="0"/>
              <w:spacing w:before="0" w:after="283"/>
              <w:jc w:val="left"/>
              <w:rPr/>
            </w:pPr>
            <w:r>
              <w:rPr/>
              <w:t> </w:t>
            </w:r>
          </w:p>
        </w:tc>
      </w:tr>
      <w:tr>
        <w:trPr/>
        <w:tc>
          <w:tcPr>
            <w:tcW w:w="8109" w:type="dxa"/>
            <w:gridSpan w:val="4"/>
            <w:tcBorders/>
            <w:vAlign w:val="center"/>
          </w:tcPr>
          <w:p>
            <w:pPr>
              <w:pStyle w:val="TableContents"/>
              <w:bidi w:val="0"/>
              <w:spacing w:before="0" w:after="283"/>
              <w:jc w:val="center"/>
              <w:rPr/>
            </w:pPr>
            <w:r>
              <w:rPr/>
              <w:t>[CHECK ONE]</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(a)</w:t>
            </w:r>
          </w:p>
        </w:tc>
        <w:tc>
          <w:tcPr>
            <w:tcW w:w="7759" w:type="dxa"/>
            <w:gridSpan w:val="2"/>
            <w:tcBorders/>
            <w:vAlign w:val="center"/>
          </w:tcPr>
          <w:p>
            <w:pPr>
              <w:pStyle w:val="TableContents"/>
              <w:bidi w:val="0"/>
              <w:spacing w:before="0" w:after="283"/>
              <w:jc w:val="left"/>
              <w:rPr/>
            </w:pPr>
            <w:r>
              <w:rPr/>
              <w:t>[  ] a beneficial interest in the:</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(i)</w:t>
            </w:r>
          </w:p>
        </w:tc>
        <w:tc>
          <w:tcPr>
            <w:tcW w:w="7300" w:type="dxa"/>
            <w:tcBorders/>
            <w:vAlign w:val="center"/>
          </w:tcPr>
          <w:p>
            <w:pPr>
              <w:pStyle w:val="TableContents"/>
              <w:bidi w:val="0"/>
              <w:spacing w:before="0" w:after="283"/>
              <w:jc w:val="left"/>
              <w:rPr/>
            </w:pPr>
            <w:r>
              <w:rPr/>
              <w:t>[  ] 144A Global Note (CUSIP [                      ]),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(ii)</w:t>
            </w:r>
          </w:p>
        </w:tc>
        <w:tc>
          <w:tcPr>
            <w:tcW w:w="7300" w:type="dxa"/>
            <w:tcBorders/>
            <w:vAlign w:val="center"/>
          </w:tcPr>
          <w:p>
            <w:pPr>
              <w:pStyle w:val="TableContents"/>
              <w:bidi w:val="0"/>
              <w:spacing w:before="0" w:after="283"/>
              <w:jc w:val="left"/>
              <w:rPr/>
            </w:pPr>
            <w:r>
              <w:rPr/>
              <w:t>[  ] Regulation S Global Note (CUSIP[                      ]),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(iii)</w:t>
            </w:r>
          </w:p>
        </w:tc>
        <w:tc>
          <w:tcPr>
            <w:tcW w:w="7300" w:type="dxa"/>
            <w:tcBorders/>
            <w:vAlign w:val="center"/>
          </w:tcPr>
          <w:p>
            <w:pPr>
              <w:pStyle w:val="TableContents"/>
              <w:bidi w:val="0"/>
              <w:spacing w:before="0" w:after="283"/>
              <w:jc w:val="left"/>
              <w:rPr/>
            </w:pPr>
            <w:r>
              <w:rPr/>
              <w:t>[ ] Unrestricted Global Note (CUSIP[                      ]),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3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759" w:type="dxa"/>
            <w:gridSpan w:val="2"/>
            <w:tcBorders/>
            <w:vAlign w:val="center"/>
          </w:tcPr>
          <w:p>
            <w:pPr>
              <w:pStyle w:val="TableContents"/>
              <w:bidi w:val="0"/>
              <w:spacing w:before="0" w:after="283"/>
              <w:jc w:val="left"/>
              <w:rPr/>
            </w:pPr>
            <w:r>
              <w:rPr/>
              <w:t>[  ] a Restricted Definitive Note; or</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75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(c)</w:t>
            </w:r>
          </w:p>
        </w:tc>
        <w:tc>
          <w:tcPr>
            <w:tcW w:w="7759" w:type="dxa"/>
            <w:gridSpan w:val="2"/>
            <w:tcBorders/>
            <w:vAlign w:val="center"/>
          </w:tcPr>
          <w:p>
            <w:pPr>
              <w:pStyle w:val="TableContents"/>
              <w:bidi w:val="0"/>
              <w:spacing w:before="0" w:after="283"/>
              <w:jc w:val="left"/>
              <w:rPr/>
            </w:pPr>
            <w:r>
              <w:rPr/>
              <w:t>[  ] an Unrestricted Definitive Note, in accordance with the terms of the Indenture.</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FORM OF CERTIFICATE OF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w:t>
        <w:br/>
        <w:t>712 Fifth Avenue, 18th Floor</w:t>
        <w:br/>
        <w:t>New York, New York 10019</w:t>
        <w:br/>
        <w:t>Fax: (212) 957-5040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Trust Services - DAPS Reorg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 Energy Park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1-800-344-5128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CCTBondholderCommunications@computershare.com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6.250% Senior Notes due 2034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August 18,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Griffon Corporation, the Guarantors named on the signature pages thereto and the Trustee. Capitalized terms used but not defined herein shall have the meanings given to them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(the “</w:t>
      </w:r>
      <w:r>
        <w:rPr>
          <w:rFonts w:ascii="Times New Roman;Times;Serif" w:hAnsi="Times New Roman;Times;Serif"/>
          <w:b w:val="false"/>
          <w:i w:val="false"/>
          <w:caps w:val="false"/>
          <w:smallCaps w:val="false"/>
          <w:sz w:val="20"/>
          <w:u w:val="single"/>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 in such Note[s] or interests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EXCHANGE OF RESTRICTED DEFINITIVE NOTES OR BENEFICIAL INTERESTS IN A RESTRICTED GLOBAL NOTE FOR UNRESTRICTED DEFINITIVE NOTES OR BENEFICIAL INTERESTS IN AN UNRESTRICTED GLOBAL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EXCHANGE OF RESTRICTED DEFINITIVE NOTES OR BENEFICIAL INTERESTS IN RESTRICTED GLOBAL NOTES FOR RESTRICTED DEFINITIVE NOTES OR BENEFICIAL INTERESTS IN RESTRICTED GLOBAL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CHECK IF EXCHANGE IS FROM RESTRICTED DEFINITIVE NOTE TO BENEFICIAL INTEREST IN A RESTRICTED GLOBAL NOTE. In connection with the Exchange of the Owner’s Restricted Definitive Note for a beneficial interest in the [CHECK ONE] [  ] 144A Global Note [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Legend printed on the relevant Restricted Global Note and in the Indenture and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 and are dated ____________.</w:t>
      </w:r>
    </w:p>
    <w:p>
      <w:pPr>
        <w:pStyle w:val="TextBody"/>
        <w:bidi w:val="0"/>
        <w:spacing w:before="0" w:after="0"/>
        <w:ind w:left="0" w:right="0" w:firstLine="144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1115"/>
        <w:gridCol w:w="1529"/>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[Insert Name of Transferor]</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By:  </w:t>
            </w:r>
          </w:p>
        </w:tc>
        <w:tc>
          <w:tcPr>
            <w:tcW w:w="152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Title:</w:t>
            </w:r>
          </w:p>
        </w:tc>
      </w:tr>
    </w:tbl>
    <w:p>
      <w:pPr>
        <w:pStyle w:val="TextBody"/>
        <w:bidi w:val="0"/>
        <w:spacing w:before="0" w:after="0"/>
        <w:ind w:left="4608" w:right="0" w:hanging="288"/>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[FORM OF SUPPLEMENTAL INDENTURE</w:t>
        <w:br/>
        <w:t>TO BE DELIVERED BY SUBSEQUENT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dated as of __________, among Griffon Corporation,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           ], a subsidiary of the Issuer and a [  ] [corporation] (the “</w:t>
      </w:r>
      <w:r>
        <w:rPr>
          <w:rFonts w:ascii="Times New Roman;Times;Serif" w:hAnsi="Times New Roman;Times;Serif"/>
          <w:b w:val="false"/>
          <w:i w:val="false"/>
          <w:caps w:val="false"/>
          <w:smallCaps w:val="false"/>
          <w:sz w:val="20"/>
          <w:u w:val="single"/>
        </w:rPr>
        <w:t>Guaranteeing Subsidiary</w:t>
      </w:r>
      <w:r>
        <w:rPr>
          <w:rFonts w:ascii="Times New Roman;Times;Serif" w:hAnsi="Times New Roman;Times;Serif"/>
          <w:b w:val="false"/>
          <w:i w:val="false"/>
          <w:caps w:val="false"/>
          <w:smallCaps w:val="false"/>
          <w:sz w:val="20"/>
        </w:rPr>
        <w:t>”), the other Guarantors party to the Indenture (as defined below), and Computershare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Guarantors (as defined in the Indenture referred to below) have heretofore executed and delivered to the Trustee an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dated as of August 18, 2026, providing for the issuance of an unlimited aggregate principal amount of 6.250% Senior Notes due 2034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is authorized to execute and deliver this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parties mutually covenant and agree for the equal and ratable benefit of the Holders of the Notes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 Capitalized terms used herein without definition shall have the meanings assigned to them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Guaranteeing Subsidiary hereby agrees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880" w:right="0" w:firstLine="5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Guaranteeing Subsidiary hereby becomes a party to the Indenture as a Guarantor and as such will have all of the rights and be subject to all of the obligations and agreements of a Guarantor under the Indenture, subject to the terms and conditions set forth in the Indenture.</w:t>
      </w:r>
    </w:p>
    <w:p>
      <w:pPr>
        <w:pStyle w:val="TextBody"/>
        <w:bidi w:val="0"/>
        <w:spacing w:before="0" w:after="0"/>
        <w:ind w:left="880" w:right="0" w:firstLine="560"/>
        <w:jc w:val="left"/>
        <w:rPr>
          <w:caps w:val="false"/>
          <w:smallCaps w:val="false"/>
        </w:rPr>
      </w:pPr>
      <w:r>
        <w:rPr>
          <w:caps w:val="false"/>
          <w:smallCaps w:val="false"/>
        </w:rPr>
        <w:t> </w:t>
      </w:r>
    </w:p>
    <w:p>
      <w:pPr>
        <w:pStyle w:val="TextBody"/>
        <w:bidi w:val="0"/>
        <w:spacing w:before="0" w:after="0"/>
        <w:ind w:left="880" w:right="0" w:firstLine="5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Guaranteeing Subsidiary agrees, on a joint and several basis with all the existing Guarantors, to fully, unconditionally and irrevocably Guarantee to each Holder of the Notes and the Trustee the Obligations pursuant to Article X of the Indenture on a senior basis.</w:t>
      </w:r>
    </w:p>
    <w:p>
      <w:pPr>
        <w:pStyle w:val="TextBody"/>
        <w:bidi w:val="0"/>
        <w:spacing w:before="0" w:after="0"/>
        <w:ind w:left="880" w:right="0" w:firstLine="560"/>
        <w:jc w:val="left"/>
        <w:rPr>
          <w:caps w:val="false"/>
          <w:smallCaps w:val="false"/>
        </w:rPr>
      </w:pPr>
      <w:r>
        <w:rPr>
          <w:caps w:val="false"/>
          <w:smallCaps w:val="false"/>
        </w:rPr>
        <w:t> </w:t>
      </w:r>
    </w:p>
    <w:p>
      <w:pPr>
        <w:pStyle w:val="TextBody"/>
        <w:bidi w:val="0"/>
        <w:spacing w:before="0" w:after="0"/>
        <w:ind w:left="880" w:right="0" w:firstLine="5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Personal Liability of Directors, Officers, Employees and Stockholders. No past, present or future director, officer, employee, incorporator or stockholder, member or limited partner of the Issuer or any Restricted Subsidiary or any of their direct or indirect parent companies shall have any liability for any obligations of the Issuer or the Guarantors (including the Guaranteeing Subsidiary) under the Notes, the Guarantees, the Indenture or this Supplemental Indenture or for any claim based on, in respect of, or by reason of such obligations or their creation.</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The Guaranteeing Subsidiary agrees that the Guarantee shall remain in full force and effect notwithstanding the absence of the endorsement of any notation of such Guarantee on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WILL BE GOVERNED BY AND CONSTRUED IN ACCORDANCE WITH THE LAWS OF THE STATE OF NEW YORK, WITHOUT REGARD TO CONFLICTS OF LAWS PRINCIPLES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Benefits Acknowledged</w:t>
      </w:r>
      <w:r>
        <w:rPr>
          <w:rFonts w:ascii="Times New Roman;Times;Serif" w:hAnsi="Times New Roman;Times;Serif"/>
          <w:b w:val="false"/>
          <w:i w:val="false"/>
          <w:caps w:val="false"/>
          <w:smallCaps w:val="false"/>
          <w:sz w:val="20"/>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Guaranteeing Subsidiary in this Supplemental Indenture shall bind its successors, except as otherwise provided in the Indenture (including without limitation Section 10.06 of the Indenture). All agreements of the Trustee in this Supplemental Indenture shall bind its successors.</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all as of the date first above written.</w:t>
      </w:r>
    </w:p>
    <w:p>
      <w:pPr>
        <w:pStyle w:val="TextBody"/>
        <w:bidi w:val="0"/>
        <w:spacing w:before="0" w:after="0"/>
        <w:ind w:left="0" w:right="0" w:firstLine="144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75"/>
        <w:gridCol w:w="2004"/>
        <w:gridCol w:w="3985"/>
      </w:tblGrid>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caps/>
              </w:rPr>
            </w:pPr>
            <w:r>
              <w:rPr>
                <w:caps/>
              </w:rPr>
              <w:t>GRIFFON CORPORATION</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pPr>
            <w:r>
              <w:rPr/>
              <w:t>By:  </w:t>
            </w:r>
          </w:p>
        </w:tc>
        <w:tc>
          <w:tcPr>
            <w:tcW w:w="39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pPr>
            <w:r>
              <w:rPr/>
              <w:t> </w:t>
            </w:r>
          </w:p>
        </w:tc>
        <w:tc>
          <w:tcPr>
            <w:tcW w:w="398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89" w:type="dxa"/>
            <w:gridSpan w:val="2"/>
            <w:tcBorders/>
            <w:vAlign w:val="center"/>
          </w:tcPr>
          <w:p>
            <w:pPr>
              <w:pStyle w:val="TableContents"/>
              <w:bidi w:val="0"/>
              <w:spacing w:before="0" w:after="283"/>
              <w:ind w:left="0" w:right="0" w:hanging="0"/>
              <w:jc w:val="left"/>
              <w:rPr/>
            </w:pPr>
            <w:r>
              <w:rPr/>
              <w:t>[GUARANTEEING SUBSIDIARY]</w:t>
            </w:r>
          </w:p>
        </w:tc>
      </w:tr>
      <w:tr>
        <w:trPr/>
        <w:tc>
          <w:tcPr>
            <w:tcW w:w="75" w:type="dxa"/>
            <w:tcBorders/>
            <w:vAlign w:val="center"/>
          </w:tcPr>
          <w:p>
            <w:pPr>
              <w:pStyle w:val="TableContents"/>
              <w:bidi w:val="0"/>
              <w:spacing w:before="0" w:after="283"/>
              <w:ind w:left="0" w:right="0" w:hanging="0"/>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pPr>
            <w:r>
              <w:rPr/>
              <w:t>By:</w:t>
            </w:r>
          </w:p>
        </w:tc>
        <w:tc>
          <w:tcPr>
            <w:tcW w:w="39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pPr>
            <w:r>
              <w:rPr/>
              <w:t> </w:t>
            </w:r>
          </w:p>
        </w:tc>
        <w:tc>
          <w:tcPr>
            <w:tcW w:w="398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89" w:type="dxa"/>
            <w:gridSpan w:val="2"/>
            <w:tcBorders/>
            <w:vAlign w:val="center"/>
          </w:tcPr>
          <w:p>
            <w:pPr>
              <w:pStyle w:val="TableContents"/>
              <w:bidi w:val="0"/>
              <w:spacing w:before="0" w:after="283"/>
              <w:ind w:left="0" w:right="0" w:hanging="0"/>
              <w:jc w:val="left"/>
              <w:rPr/>
            </w:pPr>
            <w:r>
              <w:rPr>
                <w:caps/>
              </w:rPr>
              <w:t>COMPUTERSHARE TRUST COMPANY, N.A.,</w:t>
            </w:r>
            <w:r>
              <w:rPr/>
              <w:t xml:space="preserve"> as Trustee</w:t>
            </w:r>
          </w:p>
        </w:tc>
      </w:tr>
      <w:tr>
        <w:trPr/>
        <w:tc>
          <w:tcPr>
            <w:tcW w:w="75" w:type="dxa"/>
            <w:tcBorders/>
            <w:vAlign w:val="center"/>
          </w:tcPr>
          <w:p>
            <w:pPr>
              <w:pStyle w:val="TableContents"/>
              <w:bidi w:val="0"/>
              <w:spacing w:before="0" w:after="283"/>
              <w:ind w:left="0" w:right="0" w:hanging="0"/>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pPr>
            <w:r>
              <w:rPr/>
              <w:t>By:</w:t>
            </w:r>
          </w:p>
        </w:tc>
        <w:tc>
          <w:tcPr>
            <w:tcW w:w="39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pPr>
            <w:r>
              <w:rPr/>
              <w:t>Title:</w:t>
            </w:r>
          </w:p>
        </w:tc>
      </w:tr>
    </w:tbl>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D-3</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c117477_ex99-1.htm"/>
      <w:bookmarkStart w:id="5" w:name="ksc117477_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FIFTH 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AMENDMENT TO FIFTH AMENDED AND RESTATED CREDIT AGREEMENT, dated as of August 18, 2026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hereof,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(the “</w:t>
      </w:r>
      <w:r>
        <w:rPr>
          <w:rFonts w:ascii="Times New Roman;Times;Serif" w:hAnsi="Times New Roman;Times;Serif"/>
          <w:b/>
          <w:i w:val="false"/>
          <w:caps w:val="false"/>
          <w:smallCaps w:val="false"/>
          <w:sz w:val="20"/>
        </w:rPr>
        <w:t>Revolving Lenders</w:t>
      </w:r>
      <w:r>
        <w:rPr>
          <w:rFonts w:ascii="Times New Roman;Times;Serif" w:hAnsi="Times New Roman;Times;Serif"/>
          <w:b w:val="false"/>
          <w:i w:val="false"/>
          <w:caps w:val="false"/>
          <w:smallCaps w:val="false"/>
          <w:sz w:val="20"/>
        </w:rPr>
        <w:t>”),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the other agents party thereto.</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WHEREAS, the Borrower has requested that (i) all of the outstanding Revolving Commitments (as defined in the Credit Agreement) (the “</w:t>
      </w:r>
      <w:r>
        <w:rPr>
          <w:rFonts w:ascii="Times New Roman;Times;Serif" w:hAnsi="Times New Roman;Times;Serif"/>
          <w:b/>
          <w:i w:val="false"/>
          <w:caps w:val="false"/>
          <w:smallCaps w:val="false"/>
          <w:color w:val="000000"/>
          <w:sz w:val="20"/>
        </w:rPr>
        <w:t>Existing Revolving Commitments</w:t>
      </w:r>
      <w:r>
        <w:rPr>
          <w:rFonts w:ascii="Times New Roman;Times;Serif" w:hAnsi="Times New Roman;Times;Serif"/>
          <w:b w:val="false"/>
          <w:i w:val="false"/>
          <w:caps w:val="false"/>
          <w:smallCaps w:val="false"/>
          <w:color w:val="000000"/>
          <w:sz w:val="20"/>
        </w:rPr>
        <w:t>”; the Revolving Loans (as defined in the Credit Agreement) outstanding thereunder immediately prior to the Sixth Restatement Effective Date (as defined below), the “</w:t>
      </w:r>
      <w:r>
        <w:rPr>
          <w:rFonts w:ascii="Times New Roman;Times;Serif" w:hAnsi="Times New Roman;Times;Serif"/>
          <w:b/>
          <w:i w:val="false"/>
          <w:caps w:val="false"/>
          <w:smallCaps w:val="false"/>
          <w:color w:val="000000"/>
          <w:sz w:val="20"/>
        </w:rPr>
        <w:t>Existing Revolving Loans</w:t>
      </w:r>
      <w:r>
        <w:rPr>
          <w:rFonts w:ascii="Times New Roman;Times;Serif" w:hAnsi="Times New Roman;Times;Serif"/>
          <w:b w:val="false"/>
          <w:i w:val="false"/>
          <w:caps w:val="false"/>
          <w:smallCaps w:val="false"/>
          <w:color w:val="000000"/>
          <w:sz w:val="20"/>
        </w:rPr>
        <w:t>”, and the Revolving Lenders (as defined in the Credit Agreement) holding such Existing Revolving Commitments and/or Existing Revolving Loans, collectively, the “</w:t>
      </w:r>
      <w:r>
        <w:rPr>
          <w:rFonts w:ascii="Times New Roman;Times;Serif" w:hAnsi="Times New Roman;Times;Serif"/>
          <w:b/>
          <w:i w:val="false"/>
          <w:caps w:val="false"/>
          <w:smallCaps w:val="false"/>
          <w:color w:val="000000"/>
          <w:sz w:val="20"/>
        </w:rPr>
        <w:t>Existing Revolving Lenders</w:t>
      </w:r>
      <w:r>
        <w:rPr>
          <w:rFonts w:ascii="Times New Roman;Times;Serif" w:hAnsi="Times New Roman;Times;Serif"/>
          <w:b w:val="false"/>
          <w:i w:val="false"/>
          <w:caps w:val="false"/>
          <w:smallCaps w:val="false"/>
          <w:color w:val="000000"/>
          <w:sz w:val="20"/>
        </w:rPr>
        <w:t>”) be replaced with a new revolving credit facility (the “</w:t>
      </w:r>
      <w:r>
        <w:rPr>
          <w:rFonts w:ascii="Times New Roman;Times;Serif" w:hAnsi="Times New Roman;Times;Serif"/>
          <w:b/>
          <w:i w:val="false"/>
          <w:caps w:val="false"/>
          <w:smallCaps w:val="false"/>
          <w:color w:val="000000"/>
          <w:sz w:val="20"/>
        </w:rPr>
        <w:t>New Revolving Facility</w:t>
      </w:r>
      <w:r>
        <w:rPr>
          <w:rFonts w:ascii="Times New Roman;Times;Serif" w:hAnsi="Times New Roman;Times;Serif"/>
          <w:b w:val="false"/>
          <w:i w:val="false"/>
          <w:caps w:val="false"/>
          <w:smallCaps w:val="false"/>
          <w:color w:val="000000"/>
          <w:sz w:val="20"/>
        </w:rPr>
        <w:t>”) in accordance with Section 10.02 of the Credit Agreement by obtaining new revolving credit commitments (the “</w:t>
      </w:r>
      <w:r>
        <w:rPr>
          <w:rFonts w:ascii="Times New Roman;Times;Serif" w:hAnsi="Times New Roman;Times;Serif"/>
          <w:b/>
          <w:i w:val="false"/>
          <w:caps w:val="false"/>
          <w:smallCaps w:val="false"/>
          <w:color w:val="000000"/>
          <w:sz w:val="20"/>
        </w:rPr>
        <w:t>New Revolving Commitments</w:t>
      </w:r>
      <w:r>
        <w:rPr>
          <w:rFonts w:ascii="Times New Roman;Times;Serif" w:hAnsi="Times New Roman;Times;Serif"/>
          <w:b w:val="false"/>
          <w:i w:val="false"/>
          <w:caps w:val="false"/>
          <w:smallCaps w:val="false"/>
          <w:color w:val="000000"/>
          <w:sz w:val="20"/>
        </w:rPr>
        <w:t>”; the revolving loans thereunder, the “</w:t>
      </w:r>
      <w:r>
        <w:rPr>
          <w:rFonts w:ascii="Times New Roman;Times;Serif" w:hAnsi="Times New Roman;Times;Serif"/>
          <w:b/>
          <w:i w:val="false"/>
          <w:caps w:val="false"/>
          <w:smallCaps w:val="false"/>
          <w:color w:val="000000"/>
          <w:sz w:val="20"/>
        </w:rPr>
        <w:t>New Revolving Loans</w:t>
      </w:r>
      <w:r>
        <w:rPr>
          <w:rFonts w:ascii="Times New Roman;Times;Serif" w:hAnsi="Times New Roman;Times;Serif"/>
          <w:b w:val="false"/>
          <w:i w:val="false"/>
          <w:caps w:val="false"/>
          <w:smallCaps w:val="false"/>
          <w:color w:val="000000"/>
          <w:sz w:val="20"/>
        </w:rPr>
        <w:t xml:space="preserve">”) and (ii) the Credit Agreement be amended and restated in the form </w:t>
      </w:r>
      <w:r>
        <w:rPr>
          <w:rFonts w:ascii="Times New Roman;Times;Serif" w:hAnsi="Times New Roman;Times;Serif"/>
          <w:b w:val="false"/>
          <w:i w:val="false"/>
          <w:caps w:val="false"/>
          <w:smallCaps w:val="false"/>
          <w:sz w:val="20"/>
        </w:rPr>
        <w:t xml:space="preserve">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Sixth Amended and Restated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10.02 of the Credit Agreement, the Credit Agreement may be amended to permit the refinancing, replacement or modification of all or any portion of any Existing Revolving Commitments and the extensions of credit made thereunder with the New Revolving Facility, with the written consent of the Administrative Agent, the Borrower and the Revolving Lenders providing such New Revolving Facility;</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Sixth Restatement Effective Date, the New Revolving Commitments and New Revolving Loans will replace and refinance, as applicable, the Existing Revolving Commitments and Existing Revolving Loans;</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Sixth Restatement Effective Date, the Credit Agreement will be deemed to be amended and restated in the form of the Sixth Amended and Restated Credit Agreement;</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WHEREAS, each Person that executes and delivers a “Revolving Lender Addendum” signature page to this Agreement (a “</w:t>
      </w:r>
      <w:r>
        <w:rPr>
          <w:rFonts w:ascii="Times New Roman;Times;Serif" w:hAnsi="Times New Roman;Times;Serif"/>
          <w:b/>
          <w:i w:val="false"/>
          <w:caps w:val="false"/>
          <w:smallCaps w:val="false"/>
          <w:color w:val="000000"/>
          <w:sz w:val="20"/>
        </w:rPr>
        <w:t>Revolving Lender Addendum</w:t>
      </w:r>
      <w:r>
        <w:rPr>
          <w:rFonts w:ascii="Times New Roman;Times;Serif" w:hAnsi="Times New Roman;Times;Serif"/>
          <w:b w:val="false"/>
          <w:i w:val="false"/>
          <w:caps w:val="false"/>
          <w:smallCaps w:val="false"/>
          <w:color w:val="000000"/>
          <w:sz w:val="20"/>
        </w:rPr>
        <w:t>”) will (i) agree to the terms of this Agreement and the Sixth Amended and Restated Credit Agreement, (ii) agree to continue all of its Existing Revolving Commitments as New Revolving Commitments (such continued revolving commitments, the “</w:t>
      </w:r>
      <w:r>
        <w:rPr>
          <w:rFonts w:ascii="Times New Roman;Times;Serif" w:hAnsi="Times New Roman;Times;Serif"/>
          <w:b/>
          <w:i w:val="false"/>
          <w:caps w:val="false"/>
          <w:smallCaps w:val="false"/>
          <w:color w:val="000000"/>
          <w:sz w:val="20"/>
        </w:rPr>
        <w:t>Continued Revolving Commitments</w:t>
      </w:r>
      <w:r>
        <w:rPr>
          <w:rFonts w:ascii="Times New Roman;Times;Serif" w:hAnsi="Times New Roman;Times;Serif"/>
          <w:b w:val="false"/>
          <w:i w:val="false"/>
          <w:caps w:val="false"/>
          <w:smallCaps w:val="false"/>
          <w:color w:val="000000"/>
          <w:sz w:val="20"/>
        </w:rPr>
        <w:t>”; and such Revolving Lenders, the “</w:t>
      </w:r>
      <w:r>
        <w:rPr>
          <w:rFonts w:ascii="Times New Roman;Times;Serif" w:hAnsi="Times New Roman;Times;Serif"/>
          <w:b/>
          <w:i w:val="false"/>
          <w:caps w:val="false"/>
          <w:smallCaps w:val="false"/>
          <w:color w:val="000000"/>
          <w:sz w:val="20"/>
        </w:rPr>
        <w:t>Continuing Revolving Lenders</w:t>
      </w:r>
      <w:r>
        <w:rPr>
          <w:rFonts w:ascii="Times New Roman;Times;Serif" w:hAnsi="Times New Roman;Times;Serif"/>
          <w:b w:val="false"/>
          <w:i w:val="false"/>
          <w:caps w:val="false"/>
          <w:smallCaps w:val="false"/>
          <w:color w:val="000000"/>
          <w:sz w:val="20"/>
        </w:rPr>
        <w:t>”) and/or commit to make New Revolving Commitments (such New Revolving Commitments, the “</w:t>
      </w:r>
      <w:r>
        <w:rPr>
          <w:rFonts w:ascii="Times New Roman;Times;Serif" w:hAnsi="Times New Roman;Times;Serif"/>
          <w:b/>
          <w:i w:val="false"/>
          <w:caps w:val="false"/>
          <w:smallCaps w:val="false"/>
          <w:color w:val="000000"/>
          <w:sz w:val="20"/>
        </w:rPr>
        <w:t>Additional Revolving</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i w:val="false"/>
          <w:caps w:val="false"/>
          <w:smallCaps w:val="false"/>
          <w:color w:val="000000"/>
          <w:sz w:val="20"/>
        </w:rPr>
        <w:t>Commitments</w:t>
      </w:r>
      <w:r>
        <w:rPr>
          <w:rFonts w:ascii="Times New Roman;Times;Serif" w:hAnsi="Times New Roman;Times;Serif"/>
          <w:b w:val="false"/>
          <w:i w:val="false"/>
          <w:caps w:val="false"/>
          <w:smallCaps w:val="false"/>
          <w:color w:val="000000"/>
          <w:sz w:val="20"/>
        </w:rPr>
        <w:t xml:space="preserve">”, and the </w:t>
      </w:r>
      <w:r>
        <w:rPr>
          <w:rFonts w:ascii="Times New Roman;Times;Serif" w:hAnsi="Times New Roman;Times;Serif"/>
          <w:b w:val="false"/>
          <w:i w:val="false"/>
          <w:caps w:val="false"/>
          <w:smallCaps w:val="false"/>
          <w:sz w:val="20"/>
        </w:rPr>
        <w:t xml:space="preserve">revolving </w:t>
      </w:r>
      <w:r>
        <w:rPr>
          <w:rFonts w:ascii="Times New Roman;Times;Serif" w:hAnsi="Times New Roman;Times;Serif"/>
          <w:b w:val="false"/>
          <w:i w:val="false"/>
          <w:caps w:val="false"/>
          <w:smallCaps w:val="false"/>
          <w:color w:val="000000"/>
          <w:sz w:val="20"/>
        </w:rPr>
        <w:t>loans thereunder, the “</w:t>
      </w:r>
      <w:r>
        <w:rPr>
          <w:rFonts w:ascii="Times New Roman;Times;Serif" w:hAnsi="Times New Roman;Times;Serif"/>
          <w:b/>
          <w:i w:val="false"/>
          <w:caps w:val="false"/>
          <w:smallCaps w:val="false"/>
          <w:color w:val="000000"/>
          <w:sz w:val="20"/>
        </w:rPr>
        <w:t>Additional Revolving Loans</w:t>
      </w:r>
      <w:r>
        <w:rPr>
          <w:rFonts w:ascii="Times New Roman;Times;Serif" w:hAnsi="Times New Roman;Times;Serif"/>
          <w:b w:val="false"/>
          <w:i w:val="false"/>
          <w:caps w:val="false"/>
          <w:smallCaps w:val="false"/>
          <w:color w:val="000000"/>
          <w:sz w:val="20"/>
        </w:rPr>
        <w:t>”, and the Revolving Lenders of such Additional Revolving Commitments and Additional Revolving Loans, the “</w:t>
      </w:r>
      <w:r>
        <w:rPr>
          <w:rFonts w:ascii="Times New Roman;Times;Serif" w:hAnsi="Times New Roman;Times;Serif"/>
          <w:b/>
          <w:i w:val="false"/>
          <w:caps w:val="false"/>
          <w:smallCaps w:val="false"/>
          <w:color w:val="000000"/>
          <w:sz w:val="20"/>
        </w:rPr>
        <w:t>Additional Revolving Lenders</w:t>
      </w:r>
      <w:r>
        <w:rPr>
          <w:rFonts w:ascii="Times New Roman;Times;Serif" w:hAnsi="Times New Roman;Times;Serif"/>
          <w:b w:val="false"/>
          <w:i w:val="false"/>
          <w:caps w:val="false"/>
          <w:smallCaps w:val="false"/>
          <w:color w:val="000000"/>
          <w:sz w:val="20"/>
        </w:rPr>
        <w:t>”; and the Additional Revolving Lenders together with the Continuing Revolving Lenders, the “</w:t>
      </w:r>
      <w:r>
        <w:rPr>
          <w:rFonts w:ascii="Times New Roman;Times;Serif" w:hAnsi="Times New Roman;Times;Serif"/>
          <w:b/>
          <w:i w:val="false"/>
          <w:caps w:val="false"/>
          <w:smallCaps w:val="false"/>
          <w:color w:val="000000"/>
          <w:sz w:val="20"/>
        </w:rPr>
        <w:t>New Revolving Lenders</w:t>
      </w:r>
      <w:r>
        <w:rPr>
          <w:rFonts w:ascii="Times New Roman;Times;Serif" w:hAnsi="Times New Roman;Times;Serif"/>
          <w:b w:val="false"/>
          <w:i w:val="false"/>
          <w:caps w:val="false"/>
          <w:smallCaps w:val="false"/>
          <w:color w:val="000000"/>
          <w:sz w:val="20"/>
        </w:rPr>
        <w:t xml:space="preserve">”), in each case, on the Sixth Restatement Effective Date in a principal amount as set forth under the heading “Revolving Commitments” on Schedule 1.01 in </w:t>
      </w:r>
      <w:r>
        <w:rPr>
          <w:rFonts w:ascii="Times New Roman;Times;Serif" w:hAnsi="Times New Roman;Times;Serif"/>
          <w:b w:val="false"/>
          <w:i w:val="false"/>
          <w:caps w:val="false"/>
          <w:smallCaps w:val="false"/>
          <w:color w:val="000000"/>
          <w:sz w:val="20"/>
          <w:u w:val="single"/>
        </w:rPr>
        <w:t>Exhibit B</w:t>
      </w:r>
      <w:r>
        <w:rPr>
          <w:rFonts w:ascii="Times New Roman;Times;Serif" w:hAnsi="Times New Roman;Times;Serif"/>
          <w:b w:val="false"/>
          <w:i w:val="false"/>
          <w:caps w:val="false"/>
          <w:smallCaps w:val="false"/>
          <w:color w:val="000000"/>
          <w:sz w:val="20"/>
        </w:rPr>
        <w:t xml:space="preserve"> attached hereto and (iii) agree to make New Revolving Loans from time to time;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Sixth Restatement Effective Date and subject to the provisions of Section 2.05(c) of the Sixth Amended and Restated Credit Agreement, the proceeds of the New Revolving Loans will be used by the Borrower to repay in full the outstanding principal amount of the Existing Revolving Loans;</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New Revolving Lenders are severally willing to (i) continue their Existing Revolving Commitments as New Revolving Commitments and/or make Additional Revolving Commitments, as the case may be, and make New Revolving Loans from time to time and (ii) agree to the terms of this Agreement and the Sixth Amended and Restated Credit Agreement;</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WHEREAS, the Borrower, the Administrative Agent and the New </w:t>
      </w:r>
      <w:r>
        <w:rPr>
          <w:rFonts w:ascii="Times New Roman;Times;Serif" w:hAnsi="Times New Roman;Times;Serif"/>
          <w:b w:val="false"/>
          <w:i w:val="false"/>
          <w:caps w:val="false"/>
          <w:smallCaps w:val="false"/>
          <w:sz w:val="20"/>
        </w:rPr>
        <w:t xml:space="preserve">Revolving </w:t>
      </w:r>
      <w:r>
        <w:rPr>
          <w:rFonts w:ascii="Times New Roman;Times;Serif" w:hAnsi="Times New Roman;Times;Serif"/>
          <w:b w:val="false"/>
          <w:i w:val="false"/>
          <w:caps w:val="false"/>
          <w:smallCaps w:val="false"/>
          <w:color w:val="000000"/>
          <w:sz w:val="20"/>
        </w:rPr>
        <w:t>Lenders are willing to agree to this Agreement and the Sixth Amended and Restated Credit Agreement on the terms set forth herein;</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immediately after giving effect to this Agreement, the initial amount of each Revolving Lender’s Revolving Commitment is set forth on Schedule 1.01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WHEREAS, BofA Securities, Inc., BNP Paribas Securities Corp., Deutsche Bank Securities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Goldman Sachs Bank USA and Wells Fargo Securities, LLC will act as joint lead arrangers and joint bookrunners (collectively, the “</w:t>
      </w:r>
      <w:r>
        <w:rPr>
          <w:rFonts w:ascii="Times New Roman;Times;Serif" w:hAnsi="Times New Roman;Times;Serif"/>
          <w:b/>
          <w:i w:val="false"/>
          <w:caps w:val="false"/>
          <w:smallCaps w:val="false"/>
          <w:color w:val="000000"/>
          <w:sz w:val="20"/>
        </w:rPr>
        <w:t>Third Amendment Arrangers</w:t>
      </w:r>
      <w:r>
        <w:rPr>
          <w:rFonts w:ascii="Times New Roman;Times;Serif" w:hAnsi="Times New Roman;Times;Serif"/>
          <w:b w:val="false"/>
          <w:i w:val="false"/>
          <w:caps w:val="false"/>
          <w:smallCaps w:val="false"/>
          <w:color w:val="000000"/>
          <w:sz w:val="20"/>
        </w:rPr>
        <w:t>”), in each case, for this Agreement;</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WHEREAS, BNP Paribas, Deutsche Bank Securities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Goldman Sachs Bank USA and Wells Fargo Bank, National Association will act as co-syndication agents (collectively, the “</w:t>
      </w:r>
      <w:r>
        <w:rPr>
          <w:rFonts w:ascii="Times New Roman;Times;Serif" w:hAnsi="Times New Roman;Times;Serif"/>
          <w:b/>
          <w:i w:val="false"/>
          <w:caps w:val="false"/>
          <w:smallCaps w:val="false"/>
          <w:color w:val="000000"/>
          <w:sz w:val="20"/>
        </w:rPr>
        <w:t>Third Amendment Co-Syndication Agents</w:t>
      </w:r>
      <w:r>
        <w:rPr>
          <w:rFonts w:ascii="Times New Roman;Times;Serif" w:hAnsi="Times New Roman;Times;Serif"/>
          <w:b w:val="false"/>
          <w:i w:val="false"/>
          <w:caps w:val="false"/>
          <w:smallCaps w:val="false"/>
          <w:color w:val="000000"/>
          <w:sz w:val="20"/>
        </w:rPr>
        <w:t>”) for this Agreement; and</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 One, National Association, Manufacturers and Traders Trust Company, Morgan Stanley Senior Funding, Inc. and TD Bank, N.A. will act as co-documentation agents (collectively, the “</w:t>
      </w:r>
      <w:r>
        <w:rPr>
          <w:rFonts w:ascii="Times New Roman;Times;Serif" w:hAnsi="Times New Roman;Times;Serif"/>
          <w:b/>
          <w:i w:val="false"/>
          <w:caps w:val="false"/>
          <w:smallCaps w:val="false"/>
          <w:sz w:val="20"/>
        </w:rPr>
        <w:t>Third Amendment Co-Documentation Agents</w:t>
      </w:r>
      <w:r>
        <w:rPr>
          <w:rFonts w:ascii="Times New Roman;Times;Serif" w:hAnsi="Times New Roman;Times;Serif"/>
          <w:b w:val="false"/>
          <w:i w:val="false"/>
          <w:caps w:val="false"/>
          <w:smallCaps w:val="false"/>
          <w:sz w:val="20"/>
        </w:rPr>
        <w:t>”) for this Agreement;</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contained herein, and for good and valuable consideration, the receipt and sufficiency of which are hereby acknowledged, the parties hereby agree as follows:</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r>
        <w:rPr>
          <w:rFonts w:ascii="Times New Roman;Times;Serif" w:hAnsi="Times New Roman;Times;Serif"/>
          <w:b w:val="false"/>
          <w:i/>
          <w:caps w:val="false"/>
          <w:smallCaps w:val="false"/>
          <w:sz w:val="20"/>
        </w:rPr>
        <w:t xml:space="preserve">. Defined Terms. </w:t>
      </w:r>
      <w:r>
        <w:rPr>
          <w:rFonts w:ascii="Times New Roman;Times;Serif" w:hAnsi="Times New Roman;Times;Serif"/>
          <w:b w:val="false"/>
          <w:i w:val="false"/>
          <w:caps w:val="false"/>
          <w:smallCaps w:val="false"/>
          <w:sz w:val="20"/>
        </w:rPr>
        <w:t>Unless otherwise specifically defined herein, each term used herein (including in the recitals above) has the meaning assigned to such term in the Sixth Amended and Restated Credit Agreement.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Amendments to Credit Agreement.</w:t>
      </w:r>
    </w:p>
    <w:p>
      <w:pPr>
        <w:pStyle w:val="TextBody"/>
        <w:bidi w:val="0"/>
        <w:spacing w:before="0" w:after="0"/>
        <w:ind w:left="648"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The Borrower, the Administrative Agent, the Issuing Lenders and the Revolving Lenders agree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the Credit Agreement (excluding all exhibits and schedules thereto) shall be amended and restated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To the extent of conflict between the terms of the Sixth Amended and Restated Credit Agreement and the other Loan Documents, the terms of the Sixth Amended and Restated Credit Agreement shall control. As used in the Sixth Amended and Restated Credit Agreement, the terms “Agreement”, “this Agreement”, “herein”, “hereinafter”, “hereto”, “hereof”, and words of similar import shall, unless the context otherwise requires, mean, from and after the replacement of the terms of the Credit Agreement by the terms of the Sixth Amended and Restated Credit Agreement,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Schedules 1.01, 4.13, 4.14, 4.15(a), 4.16, 7.01(a), 7.01(b), 7.02, 7.06, 7.09 and 10.01 to the Credit Agreement are hereby amended and restated in their entirety in the form of Schedules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4.13, 4.14, 4.15(a), 4.16, 7.01(a), 7.01(b), 7.02, 7.06, 7.09 and 10.01, as applicable,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 xml:space="preserve">Conditions. </w:t>
      </w:r>
      <w:r>
        <w:rPr>
          <w:rFonts w:ascii="Times New Roman;Times;Serif" w:hAnsi="Times New Roman;Times;Serif"/>
          <w:b w:val="false"/>
          <w:i w:val="false"/>
          <w:caps w:val="false"/>
          <w:smallCaps w:val="false"/>
          <w:sz w:val="20"/>
        </w:rPr>
        <w:t>This Agreement and the Sixth Amended and Restated Credit Agreement shall become effective on the date (the “</w:t>
      </w:r>
      <w:r>
        <w:rPr>
          <w:rFonts w:ascii="Times New Roman;Times;Serif" w:hAnsi="Times New Roman;Times;Serif"/>
          <w:b/>
          <w:i w:val="false"/>
          <w:caps w:val="false"/>
          <w:smallCaps w:val="false"/>
          <w:sz w:val="20"/>
        </w:rPr>
        <w:t>Sixth Restatement Effective Date</w:t>
      </w:r>
      <w:r>
        <w:rPr>
          <w:rFonts w:ascii="Times New Roman;Times;Serif" w:hAnsi="Times New Roman;Times;Serif"/>
          <w:b w:val="false"/>
          <w:i w:val="false"/>
          <w:caps w:val="false"/>
          <w:smallCaps w:val="false"/>
          <w:sz w:val="20"/>
        </w:rPr>
        <w:t>”) on which all of the following conditions precedent have been satisfied or waived: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this Agreement, duly executed and delivered by a duly authorized officer of each of (A) the Borrower, (B) the Administrative Agent, (C) each Subsidiary Guarantor, (D) the Issuing Lenders and (E) the New Revolving Lenders (which, in the case of this clause (E), may take the form of the Revolving Lender Addendum);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have paid, or caused to have been paid, to the Third Amendment Arrangers, the Administrative Agent and the New Revolving Lenders, as applicable, all fees and other amounts due and payable on or prior to the date hereof, including, without limitation, to the extent invoiced, reimbursement or payment of all reasonable out-of-pocket expenses (including reasonable fees, charges and disbursements of counsel) required to be reimbursed or paid by any Loan Party hereunder, under any Loan Document or as otherwise mutually agreed prior to the Sixth Restatement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representations and warranties of the Borrower set forth in the Sixth Amended and Restated Credit Agreement, and of each Loan Party in each of the Loan Documents to which it is a party, shall be true and correct in all material respects (except for representations and warranties that are already qualified by materiality, which representations and warranties shall be true and correct in all respects after giving effect to such qualification) on and as of the Sixth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and warranty that expressly relates to a given date shall be true and correct in all material respects as of such given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representations and warranties contained in Section 4.04(a) of the Sixth Amended and Restated Credit Agreement shall be deemed to refer to the most recent financial statements required to be delivered pursuant to Section 6.01 of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shall have occurred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 certificate, dated the Sixth Restatement Effective Date and signed by a Responsible Officer of the Borrower, confirming compliance with the conditions set forth in clauses (c) and (d) of this Section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the </w:t>
      </w:r>
      <w:r>
        <w:rPr>
          <w:rFonts w:ascii="Times New Roman;Times;Serif" w:hAnsi="Times New Roman;Times;Serif"/>
          <w:b w:val="false"/>
          <w:i w:val="false"/>
          <w:caps w:val="false"/>
          <w:smallCaps w:val="false"/>
          <w:sz w:val="20"/>
        </w:rPr>
        <w:t xml:space="preserve">Administrative Agent shall have received a written </w:t>
      </w:r>
      <w:r>
        <w:rPr>
          <w:rFonts w:ascii="Times New Roman;Times;Serif" w:hAnsi="Times New Roman;Times;Serif"/>
          <w:b w:val="false"/>
          <w:i w:val="false"/>
          <w:caps w:val="false"/>
          <w:smallCaps w:val="false"/>
          <w:color w:val="000000"/>
          <w:sz w:val="20"/>
        </w:rPr>
        <w:t xml:space="preserve">opinion (addressed to the Administrative Agent, the Issuing Lenders and the Revolving Lenders and dated as of the Sixth Restatement Effective Date) of Dechert LLP, </w:t>
      </w:r>
      <w:r>
        <w:rPr>
          <w:rFonts w:ascii="Times New Roman;Times;Serif" w:hAnsi="Times New Roman;Times;Serif"/>
          <w:b w:val="false"/>
          <w:i w:val="false"/>
          <w:caps w:val="false"/>
          <w:smallCaps w:val="false"/>
          <w:sz w:val="20"/>
        </w:rPr>
        <w:t>which shall be in form reasonably satisfactory to the Administrative Agent</w:t>
      </w:r>
      <w:r>
        <w:rPr>
          <w:rFonts w:ascii="Times New Roman;Times;Serif" w:hAnsi="Times New Roman;Times;Serif"/>
          <w:b w:val="false"/>
          <w:i w:val="false"/>
          <w:caps w:val="false"/>
          <w:smallCaps w:val="false"/>
          <w:color w:val="000000"/>
          <w:sz w:val="20"/>
        </w:rPr>
        <w:t>, and covering such other matters relating to the Loan Parties (other than Cornell Real Estate Holdings, LLC), this Agreement, the Sixth Amended and Restated Credit Agreement or the transactions contemplated hereby or thereby as the Administrative Agent shall reasonably request (and the Borrower hereby instructs such counsel to deliver such opinion to the Revolving Lenders, the Issuing Lenders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such documents and certificates as the Administrative Agent or its counsel may reasonably request relating to incumbency, the organization, existence and good standing of the Borrower and each other Loan Party and the authorization of the transactions contemplated by this Agreement all in form and substance reasonably satisfactory to the Administrative Agent and its counsel;</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the Borrower qualifies as a “legal entity customer” under the Beneficial Ownership Regulation and to the extent requested by the Administrative Agent, any Issuing Lender or any Revolving Lender, the Borrower shall deliver to the Administrative Agent, such Issuing Lender and such Revolving Lender, as applicable, a Beneficial Ownership Certification at least three Business Days prior to the Sixth Restatement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 xml:space="preserve">the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shall have been replaced and refinanced with the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the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shall have been repaid (together with accrued interest thereon) in accordance with Section 2.05(c) of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(j) the Administrative Agent shall have received </w:t>
      </w:r>
      <w:r>
        <w:rPr>
          <w:rFonts w:ascii="Times New Roman;Times;Serif" w:hAnsi="Times New Roman;Times;Serif"/>
          <w:b w:val="false"/>
          <w:i w:val="false"/>
          <w:caps w:val="false"/>
          <w:smallCaps w:val="false"/>
          <w:sz w:val="20"/>
        </w:rPr>
        <w:t>the results of a recent lien search in each of the jurisdictions of organization of each of the Loan Parties, reasonably satisfactory to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Administrative Agent shall have received from the Borrower, for the payment to the Revolving Lenders and the Issuing Lenders, as applicable, all accrued and unpaid interest on the Revolving Loans, commitment fees, participation fees and fronting fees, in each case, to, but excluding, the Sixth Restatement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Administrative Agent shall have received a solvency certificate from a Financial Officer of the Borrower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this Agreement;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extent reasonably requested by the Administrative Agent or any Revolving Lender at least seven Business Days prior to the Sixth Restatement Effective Date, the Borrower shall have provided to the Administrative Agent and such Revolving Lender the documentation and other information so requested in connection with applicable “know your customer” and anti-money laundering rules and regulations, including, without limitation, the USA PATRIOT Act, at least three Business Days prior to the Sixth Restatement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caps w:val="false"/>
          <w:smallCaps w:val="false"/>
          <w:sz w:val="20"/>
        </w:rPr>
        <w:t xml:space="preserve">Representations and Warranties. </w:t>
      </w:r>
      <w:r>
        <w:rPr>
          <w:rFonts w:ascii="Times New Roman;Times;Serif" w:hAnsi="Times New Roman;Times;Serif"/>
          <w:b w:val="false"/>
          <w:i w:val="false"/>
          <w:caps w:val="false"/>
          <w:smallCaps w:val="false"/>
          <w:sz w:val="20"/>
        </w:rPr>
        <w:t>The Borrower (and each Loan Party, in respect of clauses (a) and (d) below, as applicable) hereby represents and warrants that (a) each of the representations and warranties of the Borrower set forth in the Sixth Amended and Restated Credit Agreement, and of each Loan Party in each of the Loan Documents to which it is a party, are true and correct in all material respects (except for representations and warranties that are already qualified by materiality, which representations and warranties shall be true and correct in all respects after giving effect to such qualification) on and as of the Sixth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and warranty that expressly relates to a given date shall be true and correct in all material respects as of such given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representations and warranties contained in Section 4.04(a) of the Sixth Amended and Restated Credit Agreement shall be deemed to refer to the most recent financial statements required to be delivered pursuant to Section 6.01 of the Sixth Amended and Restated Credit Agreement), (b) at the time of and immediately after giving effect to this Agreement, no Default has occurred and is continuing, (c) as of the Sixth Restatement Effective Date, the information included in the Beneficial Ownership Certification provided on or prior to the Sixth Restatement Effective Date to any Revolving Lender in connection with this Agreement is true and correct in all material respects, and (d) this Agreement has been duly authorized, executed and delivered by each Loan Party and constitutes a legal, valid and binding obligation of each Loan Party, enforceable against each Loan Party in accordance with its terms, except as such enforceability may be limited by (x) bankruptcy, insolvency, reorganization, moratorium or similar laws of general applicability affecting the enforcement of creditors’ rights and (y) the application of general principles of equity (regardless of whether such enforceability is considered in a proceeding in equity or at law).</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caps w:val="false"/>
          <w:smallCaps w:val="false"/>
          <w:sz w:val="20"/>
        </w:rPr>
        <w:t>New Revolving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herein (i) each Continuing Revolving Lender agrees to continue all of its Existing Revolving Commitments as New Revolving Commitments on the date requested by the Borrower to be the Sixth Restatement Effective Date in a principal amount equal to such Continuing Revolving Lender’s New Revolving Commitment, as set forth under the heading “Revolving Commitments” on Schedule 1.01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(ii) each Additional Revolving Lender agrees to provide New Revolving Commitments on and after such date to the Borrower in a principal amount equal to such Additional Revolving Lender’s New Revolving Commitment, as set forth under the heading “Revolving Commitments” on Schedule 1.01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and (iii) each New Revolving Lender agrees to the terms of this Agreement and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hereof, a Person shall become a party to the Sixth Amended and Restated Credit Agreement and a New Revolving Lender as of the Sixth Restatement Effective Date by executing and delivering to the Administrative Agent, on or prior to the Sixth Restatement Effective Date, a Revolving Lender Addendum in its capacity as a New Revolving Lender. For the avoidance of doubt, (x) the Existing Revolving Commitments of a Continuing Revolving Lender must be continued in whole and may not be continued in part unless approved by the Lead Arrangers and (y) each Additional Revolving Lender must be reasonably acceptable to the Administrative Agent and each Issuing Lender (it being understood and agreed that each such Person’s execution of a signature page hereto shall be deemed to constitute approval of each Additional Revolving Lender that is a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New Revolving Commitments of each New Revolving Lender will be available to the Borrower on the Sixth Restatement Effective Date. The “New Revolving Commitment” of (i) any Continuing Revolving Lender will be the amount of its Existing Revolving Commitment as set forth in the Register as of the Sixth Restatement Effective Date (or such lesser amount as notified to such Revolving Lender by the Administrative Agent prior to the Sixth Restatement Effective Date), which shall be continued as an equal amount of New Revolving Commitments and (ii) of any Additional Revolving Lender will be such amount (not exceeding any revolving commitment offered by such Additional Revolving Lender) allocated to it by the Lead Arrangers and notified to it on or prior to the Sixth Restatement Effective Date. The Revolving Commitments of the New Revolving Lenders are several, and no such Revolving Lender will be responsible for any other such Revolving Lender’s failure to make or acquire its New Revolving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obligation of each New Revolving Lender to make, provide or acquire by continuation New Revolving Commitments on the Sixth Restatement Effective Date is subject to the satisfaction of the conditions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and after the Sixth Restatement Effective Date, each reference in the Sixth Amended and Restated Credit Agreement to (i) “Revolving Commitments” shall be deemed a reference to the New Revolving Commitments contemplated hereby and (ii) “Revolving Loans” shall be deemed a reference to the New Revolving Loans contemplated hereby, except in each case as the context may otherwise require. Notwithstanding the foregoing, except as set forth in Section 5(h) of this Agreement, the provisions of the Credit Agreement with respect to indemnification, reimbursement of costs and expenses, increased costs and break funding payments shall continue in full force and effect with respect to, and for the benefit of, each Existing Revolving Lender in respect of such Revolving Lender’s Existing Revolving Commitments and Existing Revolving Loans.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Sixth Restatement Effective Date, all Existing Revolving Loans shall be deemed repaid and reborrowed as New Revolving Loans in accordance with Section 2.05(c) of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the Revolving Lenders hereby acknowledge and agree that, at the sole option of the Administrative Agent, any Revolving Lender with Existing Revolving Commitments that all or any portion of which are not continued as Continued Revolving Commitments as contemplated hereby (“</w:t>
      </w:r>
      <w:r>
        <w:rPr>
          <w:rFonts w:ascii="Times New Roman;Times;Serif" w:hAnsi="Times New Roman;Times;Serif"/>
          <w:b/>
          <w:i w:val="false"/>
          <w:caps w:val="false"/>
          <w:smallCaps w:val="false"/>
          <w:sz w:val="20"/>
        </w:rPr>
        <w:t>Non-Continued Revolving Commitments</w:t>
      </w:r>
      <w:r>
        <w:rPr>
          <w:rFonts w:ascii="Times New Roman;Times;Serif" w:hAnsi="Times New Roman;Times;Serif"/>
          <w:b w:val="false"/>
          <w:i w:val="false"/>
          <w:caps w:val="false"/>
          <w:smallCaps w:val="false"/>
          <w:sz w:val="20"/>
        </w:rPr>
        <w:t>”) shall, automatically upon receipt of the amount necessary to purchase, at par, the portion of such Revolving Lender’s Existing Revolving Commitments constituting Non-Continued Revolving Commitments and any related outstanding Revolving Loans in connection therewith and pay all accrued interest and fees thereon, be deemed to have assigned such Non-Continued Revolving Commitments and related outstanding Revolving Loans pursuant to a form of Assignment and Assumption and, accordingly, no other action by the Revolving Lenders, the Administrative Agent or the Loan Parties shall be required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Revolving Lender party hereto and the Borrower agree that with respect to any payment or deemed payment of Existing Revolving Loans on the Sixth Restatement Effective Date, any amounts payable pursuant to Section 2.16 of the Sixth Amended and Restated Credit Agreement as a result of such payment or deemed payment are hereby waived by each Continuing Revolving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caps w:val="false"/>
          <w:smallCaps w:val="false"/>
          <w:sz w:val="20"/>
        </w:rPr>
        <w:t xml:space="preserve">Governing Law; Submission to Jurisdiction; Waiver of Jury Trial. </w:t>
      </w:r>
      <w:r>
        <w:rPr>
          <w:rFonts w:ascii="Times New Roman;Times;Serif" w:hAnsi="Times New Roman;Times;Serif"/>
          <w:b w:val="false"/>
          <w:i w:val="false"/>
          <w:caps w:val="false"/>
          <w:smallCaps w:val="false"/>
          <w:sz w:val="20"/>
        </w:rPr>
        <w:t xml:space="preserve">This Agreement shall be construed in accordance with and governed by the law of the State of New York. Each of the parties hereto irrevocably and unconditionally agrees that Sections 10.09 and 10.10 of the Sixth Amended and Restated Credit Agreement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r>
      <w:r>
        <w:rPr>
          <w:rFonts w:ascii="Times New Roman;Times;Serif" w:hAnsi="Times New Roman;Times;Serif"/>
          <w:b w:val="false"/>
          <w:i/>
          <w:caps w:val="false"/>
          <w:smallCaps w:val="false"/>
          <w:sz w:val="20"/>
        </w:rPr>
        <w:t xml:space="preserve">. Effect of This Agreement; No Novation. </w:t>
      </w:r>
      <w:r>
        <w:rPr>
          <w:rFonts w:ascii="Times New Roman;Times;Serif" w:hAnsi="Times New Roman;Times;Serif"/>
          <w:b w:val="false"/>
          <w:i w:val="false"/>
          <w:caps w:val="false"/>
          <w:smallCaps w:val="false"/>
          <w:sz w:val="20"/>
        </w:rPr>
        <w:t>Except as expressly set forth herein, this Agreement shall not by implication or otherwise limit, impair, constitute a waiver of or otherwise affect the rights and remedies of any Revolving Lender, any Issuing Lender or the Administrative Agent under the Sixth Amended and Restated Credit Agreement or any other Loan Document, and shall not alter, modify, amend or in any way affect any of the terms, conditions, obligations, covenants or agreements contained in the Sixth Amended and Restated Credit Agreement or any other Loan Document, all of which are ratified and affirmed in all respects and shall continue in full force and effect except that, on and after the effectiveness of this Agreement, each reference in each of the Loan Documents to the “Credit Agreement”, “thereunder”, “thereof” or words of like import referring to the Credit Agreement shall mean and be a reference to the Credit Agreement, as amended by, and after giving effect to, this Agreement. Nothing herein shall be deemed to entitle any party to a consent to, or a waiver, amendment, modification or other change of, any of the terms, conditions, obligations, covenants or agreements contained in the Sixth Amended and Restated Credit Agreement or any other Loan Document in similar or different circumstances. Each of the parties hereto irrevocably and unconditionally agrees that this Agreement and the Sixth Amended and Restated Credit Agreement shall not be deemed to evidence or result in a novation of the Credit Agreement or any other Loan Document. Each Loan Party hereby (i) ratifies and reaffirms all of its payment and performance obligations, contingent or otherwise, under each of the Loan Documents to which it is a party and confirms that each Loan Document to which such Loan Party is a party is, and shall continue to be, in full force and effect and is hereby ratified and confirmed in all respects and shall remain in full force and effect according to its terms, (ii) except as otherwise expressly provided in the Sixth Amended and Restated Credit Agreement, ratifies and reaffirms its prior grant and the validity of the Liens and security interests made pursuant to the Security Documents and confirms that all such Liens and security interests continue in full force and effect to secure the Obligations under the Loan Documents after giving effect to this Agreement, including, without limitation, all Obligations resulting from or incurred pursuant to the New Revolving Commitments and New Revolving Loans and (iii) in the case of each Subsidiary Guarantor, ratifies and reaffirms its guaranty of the Obligations pursuant to the Guarantee and</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Agreement. Without limiting the generality of the foregoing, the Security Documents and all of the Collateral described therein do and shall continue to secure the payment of all Obligations of the Loan Parties under the Loan Documents, as amended by, and after giving effect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This Agreement may, if agreed by the Administrative Agent, be in the form of an Electronic Record and may be executed using Electronic Signatures (including, without limitation, facsimile and .pdf) and shall be considered an original, and shall have the same legal effect, validity and enforceability as a paper record. This Agreement may be executed in as many counterparts as necessary or convenient, including both paper and electronic counterparts, but all such counterparts when taken together shall constitute one and the same Agreement.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r>
      <w:r>
        <w:rPr>
          <w:rFonts w:ascii="Times New Roman;Times;Serif" w:hAnsi="Times New Roman;Times;Serif"/>
          <w:b w:val="false"/>
          <w:i/>
          <w:caps w:val="false"/>
          <w:smallCaps w:val="false"/>
          <w:sz w:val="20"/>
        </w:rPr>
        <w:t xml:space="preserve">. Miscellaneous. </w:t>
      </w:r>
      <w:r>
        <w:rPr>
          <w:rFonts w:ascii="Times New Roman;Times;Serif" w:hAnsi="Times New Roman;Times;Serif"/>
          <w:b w:val="false"/>
          <w:i w:val="false"/>
          <w:caps w:val="false"/>
          <w:smallCaps w:val="false"/>
          <w:sz w:val="20"/>
        </w:rPr>
        <w:t>This Agreement shall constitute a Loan Document for all purposes of the Sixth Amended and Restated Credit Agreement. The Borrower shall pay all reasonable fees, costs and expenses of the Administrative Agent incurred in connection with the negotiation, preparation and execution of this Agreement and the transactions contemplated hereby.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288" w:right="288"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above written.</w:t>
      </w:r>
    </w:p>
    <w:p>
      <w:pPr>
        <w:pStyle w:val="TextBody"/>
        <w:bidi w:val="0"/>
        <w:spacing w:before="0" w:after="0"/>
        <w:ind w:left="288" w:right="288" w:firstLine="792"/>
        <w:jc w:val="both"/>
        <w:rPr>
          <w:caps w:val="false"/>
          <w:smallCaps w:val="false"/>
        </w:rPr>
      </w:pPr>
      <w:r>
        <w:rPr>
          <w:caps w:val="false"/>
          <w:smallCaps w:val="false"/>
        </w:rPr>
        <w:t> </w:t>
      </w:r>
    </w:p>
    <w:tbl>
      <w:tblPr>
        <w:tblW w:w="4984" w:type="dxa"/>
        <w:jc w:val="left"/>
        <w:tblInd w:w="0" w:type="dxa"/>
        <w:tblLayout w:type="fixed"/>
        <w:tblCellMar>
          <w:top w:w="0" w:type="dxa"/>
          <w:left w:w="0" w:type="dxa"/>
          <w:bottom w:w="0" w:type="dxa"/>
          <w:right w:w="0" w:type="dxa"/>
        </w:tblCellMar>
      </w:tblPr>
      <w:tblGrid>
        <w:gridCol w:w="75"/>
        <w:gridCol w:w="629"/>
        <w:gridCol w:w="4280"/>
      </w:tblGrid>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GRIFFON CORPORATION</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Treasurer</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CLOPAY CORPORATION</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Treasurer</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CORNELL REAL ESTATE HOLDINGS, LLC</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Treasurer</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CLOPAY AMES HOLDING CORP.</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Treasurer</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CORNELLCOOKSON, LLC</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Assistant Treasurer</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pPr>
            <w:r>
              <w:rPr/>
              <w:t>AMES HUNTER HOLDINGS CORPORATION</w:t>
            </w:r>
          </w:p>
        </w:tc>
      </w:tr>
      <w:tr>
        <w:trPr/>
        <w:tc>
          <w:tcPr>
            <w:tcW w:w="75"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9" w:type="dxa"/>
            <w:tcBorders/>
            <w:vAlign w:val="center"/>
          </w:tcPr>
          <w:p>
            <w:pPr>
              <w:pStyle w:val="TableContents"/>
              <w:bidi w:val="0"/>
              <w:spacing w:before="0" w:after="283"/>
              <w:ind w:left="0" w:right="0" w:hanging="0"/>
              <w:jc w:val="left"/>
              <w:rPr/>
            </w:pPr>
            <w:r>
              <w:rPr/>
              <w:t>By:</w:t>
            </w:r>
          </w:p>
        </w:tc>
        <w:tc>
          <w:tcPr>
            <w:tcW w:w="4280"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3895" w:type="dxa"/>
        <w:jc w:val="left"/>
        <w:tblInd w:w="0" w:type="dxa"/>
        <w:tblLayout w:type="fixed"/>
        <w:tblCellMar>
          <w:top w:w="0" w:type="dxa"/>
          <w:left w:w="0" w:type="dxa"/>
          <w:bottom w:w="0" w:type="dxa"/>
          <w:right w:w="0" w:type="dxa"/>
        </w:tblCellMar>
      </w:tblPr>
      <w:tblGrid>
        <w:gridCol w:w="75"/>
        <w:gridCol w:w="365"/>
        <w:gridCol w:w="3455"/>
      </w:tblGrid>
      <w:tr>
        <w:trPr/>
        <w:tc>
          <w:tcPr>
            <w:tcW w:w="7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pPr>
            <w:r>
              <w:rPr/>
              <w:t>HUNTER FAN COMPANY</w:t>
            </w:r>
          </w:p>
        </w:tc>
      </w:tr>
      <w:tr>
        <w:trPr/>
        <w:tc>
          <w:tcPr>
            <w:tcW w:w="7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By:</w:t>
            </w:r>
          </w:p>
        </w:tc>
        <w:tc>
          <w:tcPr>
            <w:tcW w:w="3455" w:type="dxa"/>
            <w:tcBorders/>
            <w:vAlign w:val="center"/>
          </w:tcPr>
          <w:p>
            <w:pPr>
              <w:pStyle w:val="TableContents"/>
              <w:bidi w:val="0"/>
              <w:spacing w:before="0" w:after="283"/>
              <w:jc w:val="left"/>
              <w:rPr>
                <w:u w:val="single"/>
              </w:rPr>
            </w:pPr>
            <w:r>
              <w:rPr>
                <w:u w:val="single"/>
              </w:rPr>
              <w:t>/s/ Meghan M. Faney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Name: Meghan M. Faney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Title: Assistant Treasurer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pPr>
            <w:r>
              <w:rPr/>
              <w:t>GRIFFON AMES HOLDCO LLC</w:t>
            </w:r>
          </w:p>
        </w:tc>
      </w:tr>
      <w:tr>
        <w:trPr/>
        <w:tc>
          <w:tcPr>
            <w:tcW w:w="7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By:</w:t>
            </w:r>
          </w:p>
        </w:tc>
        <w:tc>
          <w:tcPr>
            <w:tcW w:w="3455" w:type="dxa"/>
            <w:tcBorders/>
            <w:vAlign w:val="center"/>
          </w:tcPr>
          <w:p>
            <w:pPr>
              <w:pStyle w:val="TableContents"/>
              <w:bidi w:val="0"/>
              <w:spacing w:before="0" w:after="283"/>
              <w:ind w:left="0" w:right="0" w:hanging="0"/>
              <w:jc w:val="left"/>
              <w:rPr>
                <w:u w:val="single"/>
              </w:rPr>
            </w:pPr>
            <w:r>
              <w:rPr>
                <w:u w:val="single"/>
              </w:rPr>
              <w:t>/s/ Seth L. Kaplan</w:t>
            </w:r>
          </w:p>
        </w:tc>
      </w:tr>
      <w:tr>
        <w:trPr/>
        <w:tc>
          <w:tcPr>
            <w:tcW w:w="75"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3455" w:type="dxa"/>
            <w:tcBorders/>
            <w:vAlign w:val="center"/>
          </w:tcPr>
          <w:p>
            <w:pPr>
              <w:pStyle w:val="TableContents"/>
              <w:bidi w:val="0"/>
              <w:spacing w:before="0" w:after="283"/>
              <w:ind w:left="0" w:right="0" w:hanging="0"/>
              <w:jc w:val="left"/>
              <w:rPr/>
            </w:pPr>
            <w:r>
              <w:rPr/>
              <w:t>Name: Vice President and Secretary</w:t>
            </w:r>
          </w:p>
        </w:tc>
      </w:tr>
      <w:tr>
        <w:trPr/>
        <w:tc>
          <w:tcPr>
            <w:tcW w:w="75"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3455" w:type="dxa"/>
            <w:tcBorders/>
            <w:vAlign w:val="center"/>
          </w:tcPr>
          <w:p>
            <w:pPr>
              <w:pStyle w:val="TableContents"/>
              <w:bidi w:val="0"/>
              <w:spacing w:before="0" w:after="283"/>
              <w:jc w:val="left"/>
              <w:rPr/>
            </w:pPr>
            <w:r>
              <w:rPr/>
              <w:t xml:space="preserve">Title: Seth L. Kaplan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389" w:type="dxa"/>
        <w:jc w:val="left"/>
        <w:tblInd w:w="0" w:type="dxa"/>
        <w:tblLayout w:type="fixed"/>
        <w:tblCellMar>
          <w:top w:w="0" w:type="dxa"/>
          <w:left w:w="0" w:type="dxa"/>
          <w:bottom w:w="0" w:type="dxa"/>
          <w:right w:w="0" w:type="dxa"/>
        </w:tblCellMar>
      </w:tblPr>
      <w:tblGrid>
        <w:gridCol w:w="75"/>
        <w:gridCol w:w="644"/>
        <w:gridCol w:w="4670"/>
      </w:tblGrid>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BANK OF AMERICA, N.A., as Administrative Agent</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By:</w:t>
            </w:r>
          </w:p>
        </w:tc>
        <w:tc>
          <w:tcPr>
            <w:tcW w:w="4670" w:type="dxa"/>
            <w:tcBorders/>
            <w:vAlign w:val="center"/>
          </w:tcPr>
          <w:p>
            <w:pPr>
              <w:pStyle w:val="TableContents"/>
              <w:bidi w:val="0"/>
              <w:spacing w:before="0" w:after="283"/>
              <w:ind w:left="0" w:right="0" w:hanging="0"/>
              <w:jc w:val="left"/>
              <w:rPr>
                <w:u w:val="single"/>
              </w:rPr>
            </w:pPr>
            <w:r>
              <w:rPr>
                <w:u w:val="single"/>
              </w:rPr>
              <w:t>/s/Dianna Benner</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 </w:t>
            </w:r>
          </w:p>
        </w:tc>
        <w:tc>
          <w:tcPr>
            <w:tcW w:w="4670" w:type="dxa"/>
            <w:tcBorders/>
            <w:vAlign w:val="center"/>
          </w:tcPr>
          <w:p>
            <w:pPr>
              <w:pStyle w:val="TableContents"/>
              <w:bidi w:val="0"/>
              <w:spacing w:before="0" w:after="283"/>
              <w:ind w:left="0" w:right="0" w:hanging="0"/>
              <w:jc w:val="left"/>
              <w:rPr/>
            </w:pPr>
            <w:r>
              <w:rPr/>
              <w:t>Name: Dianna Benner</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 </w:t>
            </w:r>
          </w:p>
        </w:tc>
        <w:tc>
          <w:tcPr>
            <w:tcW w:w="4670" w:type="dxa"/>
            <w:tcBorders/>
            <w:vAlign w:val="center"/>
          </w:tcPr>
          <w:p>
            <w:pPr>
              <w:pStyle w:val="TableContents"/>
              <w:bidi w:val="0"/>
              <w:spacing w:before="0" w:after="283"/>
              <w:ind w:left="0" w:right="0" w:hanging="0"/>
              <w:jc w:val="left"/>
              <w:rPr/>
            </w:pPr>
            <w:r>
              <w:rPr/>
              <w:t>Title: AVP</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BANK OF AMERICA, N.A., as an Issuing Lender</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By:</w:t>
            </w:r>
          </w:p>
        </w:tc>
        <w:tc>
          <w:tcPr>
            <w:tcW w:w="4670" w:type="dxa"/>
            <w:tcBorders/>
            <w:vAlign w:val="center"/>
          </w:tcPr>
          <w:p>
            <w:pPr>
              <w:pStyle w:val="TableContents"/>
              <w:bidi w:val="0"/>
              <w:spacing w:before="0" w:after="283"/>
              <w:ind w:left="0" w:right="0" w:hanging="0"/>
              <w:jc w:val="left"/>
              <w:rPr>
                <w:u w:val="single"/>
              </w:rPr>
            </w:pPr>
            <w:r>
              <w:rPr>
                <w:u w:val="single"/>
              </w:rPr>
              <w:t>/s/John Falke</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 </w:t>
            </w:r>
          </w:p>
        </w:tc>
        <w:tc>
          <w:tcPr>
            <w:tcW w:w="4670" w:type="dxa"/>
            <w:tcBorders/>
            <w:vAlign w:val="center"/>
          </w:tcPr>
          <w:p>
            <w:pPr>
              <w:pStyle w:val="TableContents"/>
              <w:bidi w:val="0"/>
              <w:spacing w:before="0" w:after="283"/>
              <w:ind w:left="0" w:right="0" w:hanging="0"/>
              <w:jc w:val="left"/>
              <w:rPr/>
            </w:pPr>
            <w:r>
              <w:rPr/>
              <w:t>Name: John Falke</w:t>
            </w:r>
          </w:p>
        </w:tc>
      </w:tr>
      <w:tr>
        <w:trPr/>
        <w:tc>
          <w:tcPr>
            <w:tcW w:w="75" w:type="dxa"/>
            <w:tcBorders/>
            <w:vAlign w:val="center"/>
          </w:tcPr>
          <w:p>
            <w:pPr>
              <w:pStyle w:val="TableContents"/>
              <w:bidi w:val="0"/>
              <w:spacing w:before="0" w:after="283"/>
              <w:ind w:left="0" w:right="0" w:hanging="0"/>
              <w:jc w:val="left"/>
              <w:rPr/>
            </w:pPr>
            <w:r>
              <w:rPr/>
              <w:t> </w:t>
            </w:r>
          </w:p>
        </w:tc>
        <w:tc>
          <w:tcPr>
            <w:tcW w:w="644" w:type="dxa"/>
            <w:tcBorders/>
            <w:vAlign w:val="center"/>
          </w:tcPr>
          <w:p>
            <w:pPr>
              <w:pStyle w:val="TableContents"/>
              <w:bidi w:val="0"/>
              <w:spacing w:before="0" w:after="283"/>
              <w:ind w:left="0" w:right="0" w:hanging="0"/>
              <w:jc w:val="left"/>
              <w:rPr/>
            </w:pPr>
            <w:r>
              <w:rPr/>
              <w:t> </w:t>
            </w:r>
          </w:p>
        </w:tc>
        <w:tc>
          <w:tcPr>
            <w:tcW w:w="4670"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715"/>
        <w:gridCol w:w="2255"/>
      </w:tblGrid>
      <w:tr>
        <w:trPr/>
        <w:tc>
          <w:tcPr>
            <w:tcW w:w="1715" w:type="dxa"/>
            <w:tcBorders/>
            <w:vAlign w:val="center"/>
          </w:tcPr>
          <w:p>
            <w:pPr>
              <w:pStyle w:val="TableContents"/>
              <w:bidi w:val="0"/>
              <w:spacing w:before="0" w:after="283"/>
              <w:jc w:val="left"/>
              <w:rPr>
                <w:b/>
                <w:sz w:val="20"/>
              </w:rPr>
            </w:pPr>
            <w:r>
              <w:rPr>
                <w:b/>
                <w:sz w:val="20"/>
              </w:rPr>
              <w:t>Name of Institution:</w:t>
            </w:r>
          </w:p>
        </w:tc>
        <w:tc>
          <w:tcPr>
            <w:tcW w:w="2255" w:type="dxa"/>
            <w:tcBorders>
              <w:bottom w:val="single" w:sz="2" w:space="0" w:color="000000"/>
            </w:tcBorders>
            <w:tcMar>
              <w:bottom w:w="28" w:type="dxa"/>
            </w:tcMar>
            <w:vAlign w:val="center"/>
          </w:tcPr>
          <w:p>
            <w:pPr>
              <w:pStyle w:val="TableContents"/>
              <w:bidi w:val="0"/>
              <w:spacing w:before="0" w:after="283"/>
              <w:jc w:val="left"/>
              <w:rPr>
                <w:sz w:val="20"/>
              </w:rPr>
            </w:pPr>
            <w:r>
              <w:rPr>
                <w:sz w:val="20"/>
              </w:rPr>
              <w:t>BANK OF AMERICA, 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954" w:type="dxa"/>
        <w:jc w:val="left"/>
        <w:tblInd w:w="0" w:type="dxa"/>
        <w:tblLayout w:type="fixed"/>
        <w:tblCellMar>
          <w:top w:w="0" w:type="dxa"/>
          <w:left w:w="0" w:type="dxa"/>
          <w:bottom w:w="0" w:type="dxa"/>
          <w:right w:w="0" w:type="dxa"/>
        </w:tblCellMar>
      </w:tblPr>
      <w:tblGrid>
        <w:gridCol w:w="102"/>
        <w:gridCol w:w="497"/>
        <w:gridCol w:w="4355"/>
      </w:tblGrid>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By:</w:t>
            </w:r>
          </w:p>
        </w:tc>
        <w:tc>
          <w:tcPr>
            <w:tcW w:w="4355" w:type="dxa"/>
            <w:tcBorders/>
            <w:vAlign w:val="center"/>
          </w:tcPr>
          <w:p>
            <w:pPr>
              <w:pStyle w:val="TableContents"/>
              <w:bidi w:val="0"/>
              <w:spacing w:before="0" w:after="283"/>
              <w:jc w:val="left"/>
              <w:rPr/>
            </w:pPr>
            <w:r>
              <w:rPr/>
              <w:t>/</w:t>
            </w:r>
            <w:r>
              <w:rPr>
                <w:u w:val="single"/>
              </w:rPr>
              <w:t>s/ John Falke</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Name: John Falke</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Title: Senior Vice President</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4954" w:type="dxa"/>
            <w:gridSpan w:val="3"/>
            <w:tcBorders/>
            <w:vAlign w:val="center"/>
          </w:tcPr>
          <w:p>
            <w:pPr>
              <w:pStyle w:val="TableContents"/>
              <w:bidi w:val="0"/>
              <w:spacing w:before="0" w:after="283"/>
              <w:jc w:val="left"/>
              <w:rPr/>
            </w:pPr>
            <w:r>
              <w:rPr/>
              <w:t>For any institution requiring a second signature line:</w:t>
            </w:r>
          </w:p>
        </w:tc>
      </w:tr>
      <w:tr>
        <w:trPr/>
        <w:tc>
          <w:tcPr>
            <w:tcW w:w="4954" w:type="dxa"/>
            <w:gridSpan w:val="3"/>
            <w:tcBorders/>
            <w:vAlign w:val="center"/>
          </w:tcPr>
          <w:p>
            <w:pPr>
              <w:pStyle w:val="TableContents"/>
              <w:bidi w:val="0"/>
              <w:spacing w:before="0" w:after="283"/>
              <w:jc w:val="left"/>
              <w:rPr/>
            </w:pPr>
            <w:r>
              <w:rPr/>
              <w:t> </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By:</w:t>
            </w:r>
          </w:p>
        </w:tc>
        <w:tc>
          <w:tcPr>
            <w:tcW w:w="4355" w:type="dxa"/>
            <w:tcBorders/>
            <w:vAlign w:val="center"/>
          </w:tcPr>
          <w:p>
            <w:pPr>
              <w:pStyle w:val="TableContents"/>
              <w:bidi w:val="0"/>
              <w:spacing w:before="0" w:after="283"/>
              <w:jc w:val="left"/>
              <w:rPr>
                <w:u w:val="single"/>
              </w:rPr>
            </w:pPr>
            <w:r>
              <w:rPr>
                <w:u w:val="single"/>
              </w:rPr>
              <w:t>                                                     </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Name:</w:t>
            </w:r>
          </w:p>
        </w:tc>
      </w:tr>
      <w:tr>
        <w:trPr/>
        <w:tc>
          <w:tcPr>
            <w:tcW w:w="102"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075"/>
        <w:gridCol w:w="1610"/>
      </w:tblGrid>
      <w:tr>
        <w:trPr/>
        <w:tc>
          <w:tcPr>
            <w:tcW w:w="2075" w:type="dxa"/>
            <w:tcBorders/>
            <w:vAlign w:val="center"/>
          </w:tcPr>
          <w:p>
            <w:pPr>
              <w:pStyle w:val="TableContents"/>
              <w:bidi w:val="0"/>
              <w:spacing w:before="0" w:after="283"/>
              <w:jc w:val="left"/>
              <w:rPr>
                <w:b/>
              </w:rPr>
            </w:pPr>
            <w:r>
              <w:rPr>
                <w:b/>
              </w:rPr>
              <w:t>Name of Institution:</w:t>
            </w:r>
          </w:p>
        </w:tc>
        <w:tc>
          <w:tcPr>
            <w:tcW w:w="1610" w:type="dxa"/>
            <w:tcBorders>
              <w:bottom w:val="single" w:sz="2" w:space="0" w:color="000000"/>
            </w:tcBorders>
            <w:tcMar>
              <w:bottom w:w="28" w:type="dxa"/>
            </w:tcMar>
            <w:vAlign w:val="center"/>
          </w:tcPr>
          <w:p>
            <w:pPr>
              <w:pStyle w:val="TableContents"/>
              <w:bidi w:val="0"/>
              <w:spacing w:before="0" w:after="283"/>
              <w:jc w:val="left"/>
              <w:rPr/>
            </w:pPr>
            <w:r>
              <w:rPr/>
              <w:t>BNP PARIBAS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color w:val="000000"/>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2470" w:type="dxa"/>
        <w:jc w:val="left"/>
        <w:tblInd w:w="0" w:type="dxa"/>
        <w:tblLayout w:type="fixed"/>
        <w:tblCellMar>
          <w:top w:w="0" w:type="dxa"/>
          <w:left w:w="0" w:type="dxa"/>
          <w:bottom w:w="0" w:type="dxa"/>
          <w:right w:w="0" w:type="dxa"/>
        </w:tblCellMar>
      </w:tblPr>
      <w:tblGrid>
        <w:gridCol w:w="75"/>
        <w:gridCol w:w="320"/>
        <w:gridCol w:w="20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75" w:type="dxa"/>
            <w:tcBorders/>
            <w:vAlign w:val="center"/>
          </w:tcPr>
          <w:p>
            <w:pPr>
              <w:pStyle w:val="TableContents"/>
              <w:bidi w:val="0"/>
              <w:spacing w:before="0" w:after="283"/>
              <w:jc w:val="left"/>
              <w:rPr>
                <w:sz w:val="20"/>
                <w:u w:val="single"/>
              </w:rPr>
            </w:pPr>
            <w:r>
              <w:rPr>
                <w:sz w:val="20"/>
                <w:u w:val="single"/>
              </w:rPr>
              <w:t>/s/Anita Ogbara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Name: Anita Ogbara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Title: Managing 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75" w:type="dxa"/>
            <w:tcBorders/>
            <w:vAlign w:val="center"/>
          </w:tcPr>
          <w:p>
            <w:pPr>
              <w:pStyle w:val="TableContents"/>
              <w:bidi w:val="0"/>
              <w:spacing w:before="0" w:after="283"/>
              <w:jc w:val="left"/>
              <w:rPr>
                <w:sz w:val="20"/>
                <w:u w:val="single"/>
              </w:rPr>
            </w:pPr>
            <w:r>
              <w:rPr>
                <w:sz w:val="20"/>
                <w:u w:val="single"/>
              </w:rPr>
              <w:t>/s/ Norman Miller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Name: Norman Miller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Title: Vice President</w:t>
            </w:r>
          </w:p>
        </w:tc>
      </w:tr>
    </w:tbl>
    <w:p>
      <w:pPr>
        <w:pStyle w:val="TextBody"/>
        <w:bidi w:val="0"/>
        <w:spacing w:before="0" w:after="0"/>
        <w:ind w:left="0" w:right="0" w:hanging="0"/>
        <w:jc w:val="both"/>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075"/>
        <w:gridCol w:w="3740"/>
      </w:tblGrid>
      <w:tr>
        <w:trPr/>
        <w:tc>
          <w:tcPr>
            <w:tcW w:w="2075" w:type="dxa"/>
            <w:tcBorders/>
            <w:vAlign w:val="center"/>
          </w:tcPr>
          <w:p>
            <w:pPr>
              <w:pStyle w:val="TableContents"/>
              <w:bidi w:val="0"/>
              <w:spacing w:before="0" w:after="283"/>
              <w:jc w:val="left"/>
              <w:rPr>
                <w:b/>
              </w:rPr>
            </w:pPr>
            <w:r>
              <w:rPr>
                <w:b/>
              </w:rPr>
              <w:t>Name of Institution:</w:t>
            </w:r>
          </w:p>
        </w:tc>
        <w:tc>
          <w:tcPr>
            <w:tcW w:w="3740" w:type="dxa"/>
            <w:tcBorders>
              <w:bottom w:val="single" w:sz="2" w:space="0" w:color="000000"/>
            </w:tcBorders>
            <w:tcMar>
              <w:bottom w:w="28" w:type="dxa"/>
            </w:tcMar>
            <w:vAlign w:val="center"/>
          </w:tcPr>
          <w:p>
            <w:pPr>
              <w:pStyle w:val="TableContents"/>
              <w:bidi w:val="0"/>
              <w:spacing w:before="0" w:after="283"/>
              <w:jc w:val="left"/>
              <w:rPr/>
            </w:pPr>
            <w:r>
              <w:rPr/>
              <w:t>Deutsche Bank AG New York Branch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color w:val="000000"/>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3" w:type="dxa"/>
        <w:jc w:val="left"/>
        <w:tblInd w:w="0" w:type="dxa"/>
        <w:tblLayout w:type="fixed"/>
        <w:tblCellMar>
          <w:top w:w="0" w:type="dxa"/>
          <w:left w:w="0" w:type="dxa"/>
          <w:bottom w:w="0" w:type="dxa"/>
          <w:right w:w="0" w:type="dxa"/>
        </w:tblCellMar>
      </w:tblPr>
      <w:tblGrid>
        <w:gridCol w:w="141"/>
        <w:gridCol w:w="604"/>
        <w:gridCol w:w="3578"/>
      </w:tblGrid>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sz w:val="20"/>
              </w:rPr>
            </w:pPr>
            <w:r>
              <w:rPr>
                <w:sz w:val="20"/>
              </w:rPr>
              <w:t>By:</w:t>
            </w:r>
          </w:p>
        </w:tc>
        <w:tc>
          <w:tcPr>
            <w:tcW w:w="3578" w:type="dxa"/>
            <w:tcBorders/>
            <w:vAlign w:val="center"/>
          </w:tcPr>
          <w:p>
            <w:pPr>
              <w:pStyle w:val="TableContents"/>
              <w:bidi w:val="0"/>
              <w:spacing w:before="0" w:after="283"/>
              <w:jc w:val="left"/>
              <w:rPr>
                <w:sz w:val="20"/>
                <w:u w:val="single"/>
              </w:rPr>
            </w:pPr>
            <w:r>
              <w:rPr>
                <w:sz w:val="20"/>
                <w:u w:val="single"/>
              </w:rPr>
              <w:t>/s/ James Hines</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sz w:val="20"/>
              </w:rPr>
            </w:pPr>
            <w:r>
              <w:rPr>
                <w:sz w:val="20"/>
              </w:rPr>
              <w:t>Name: James Hines</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sz w:val="20"/>
              </w:rPr>
            </w:pPr>
            <w:r>
              <w:rPr>
                <w:sz w:val="20"/>
              </w:rPr>
              <w:t>Title: Director</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pPr>
            <w:r>
              <w:rPr/>
              <w:t> </w:t>
            </w:r>
          </w:p>
        </w:tc>
      </w:tr>
      <w:tr>
        <w:trPr/>
        <w:tc>
          <w:tcPr>
            <w:tcW w:w="4323"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sz w:val="20"/>
              </w:rPr>
            </w:pPr>
            <w:r>
              <w:rPr>
                <w:sz w:val="20"/>
              </w:rPr>
              <w:t>By:</w:t>
            </w:r>
          </w:p>
        </w:tc>
        <w:tc>
          <w:tcPr>
            <w:tcW w:w="3578" w:type="dxa"/>
            <w:tcBorders/>
            <w:vAlign w:val="center"/>
          </w:tcPr>
          <w:p>
            <w:pPr>
              <w:pStyle w:val="TableContents"/>
              <w:bidi w:val="0"/>
              <w:spacing w:before="0" w:after="283"/>
              <w:jc w:val="left"/>
              <w:rPr>
                <w:sz w:val="20"/>
                <w:u w:val="single"/>
              </w:rPr>
            </w:pPr>
            <w:r>
              <w:rPr>
                <w:sz w:val="20"/>
                <w:u w:val="single"/>
              </w:rPr>
              <w:t>/s/ Craig Cheverko</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sz w:val="20"/>
              </w:rPr>
            </w:pPr>
            <w:r>
              <w:rPr>
                <w:sz w:val="20"/>
              </w:rPr>
              <w:t>Name: Craig Cheverko</w:t>
            </w:r>
          </w:p>
        </w:tc>
      </w:tr>
      <w:tr>
        <w:trPr/>
        <w:tc>
          <w:tcPr>
            <w:tcW w:w="1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3578" w:type="dxa"/>
            <w:tcBorders/>
            <w:vAlign w:val="center"/>
          </w:tcPr>
          <w:p>
            <w:pPr>
              <w:pStyle w:val="TableContents"/>
              <w:bidi w:val="0"/>
              <w:spacing w:before="0" w:after="283"/>
              <w:jc w:val="left"/>
              <w:rPr>
                <w:sz w:val="20"/>
              </w:rPr>
            </w:pPr>
            <w:r>
              <w:rPr>
                <w:sz w:val="20"/>
              </w:rPr>
              <w:t>Title: Vice President</w:t>
            </w:r>
          </w:p>
        </w:tc>
      </w:tr>
    </w:tbl>
    <w:p>
      <w:pPr>
        <w:pStyle w:val="TextBody"/>
        <w:bidi w:val="0"/>
        <w:spacing w:before="0" w:after="0"/>
        <w:ind w:left="0" w:right="0" w:hanging="0"/>
        <w:jc w:val="both"/>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2075"/>
        <w:gridCol w:w="3470"/>
      </w:tblGrid>
      <w:tr>
        <w:trPr/>
        <w:tc>
          <w:tcPr>
            <w:tcW w:w="2075" w:type="dxa"/>
            <w:tcBorders/>
            <w:vAlign w:val="center"/>
          </w:tcPr>
          <w:p>
            <w:pPr>
              <w:pStyle w:val="TableContents"/>
              <w:bidi w:val="0"/>
              <w:spacing w:before="0" w:after="283"/>
              <w:jc w:val="left"/>
              <w:rPr>
                <w:b/>
              </w:rPr>
            </w:pPr>
            <w:r>
              <w:rPr>
                <w:b/>
              </w:rPr>
              <w:t>Name of Institution:</w:t>
            </w:r>
          </w:p>
        </w:tc>
        <w:tc>
          <w:tcPr>
            <w:tcW w:w="3470" w:type="dxa"/>
            <w:tcBorders>
              <w:bottom w:val="single" w:sz="2" w:space="0" w:color="000000"/>
            </w:tcBorders>
            <w:tcMar>
              <w:bottom w:w="28" w:type="dxa"/>
            </w:tcMar>
            <w:vAlign w:val="center"/>
          </w:tcPr>
          <w:p>
            <w:pPr>
              <w:pStyle w:val="TableContents"/>
              <w:bidi w:val="0"/>
              <w:spacing w:before="0" w:after="283"/>
              <w:jc w:val="left"/>
              <w:rPr/>
            </w:pPr>
            <w:r>
              <w:rPr/>
              <w:t>GOLDMAN SACHS BANK USA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color w:val="000000"/>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2680" w:type="dxa"/>
        <w:jc w:val="left"/>
        <w:tblInd w:w="0" w:type="dxa"/>
        <w:tblLayout w:type="fixed"/>
        <w:tblCellMar>
          <w:top w:w="0" w:type="dxa"/>
          <w:left w:w="0" w:type="dxa"/>
          <w:bottom w:w="0" w:type="dxa"/>
          <w:right w:w="0" w:type="dxa"/>
        </w:tblCellMar>
      </w:tblPr>
      <w:tblGrid>
        <w:gridCol w:w="75"/>
        <w:gridCol w:w="320"/>
        <w:gridCol w:w="22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285" w:type="dxa"/>
            <w:tcBorders/>
            <w:vAlign w:val="center"/>
          </w:tcPr>
          <w:p>
            <w:pPr>
              <w:pStyle w:val="TableContents"/>
              <w:bidi w:val="0"/>
              <w:spacing w:before="0" w:after="283"/>
              <w:jc w:val="left"/>
              <w:rPr>
                <w:sz w:val="20"/>
                <w:u w:val="single"/>
              </w:rPr>
            </w:pPr>
            <w:r>
              <w:rPr>
                <w:sz w:val="20"/>
                <w:u w:val="single"/>
              </w:rPr>
              <w:t>/s/ Jonathan Dworkin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sz w:val="20"/>
              </w:rPr>
            </w:pPr>
            <w:r>
              <w:rPr>
                <w:sz w:val="20"/>
              </w:rPr>
              <w:t>Name: Jonathan Dworkin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sz w:val="20"/>
              </w:rPr>
            </w:pPr>
            <w:r>
              <w:rPr>
                <w:sz w:val="20"/>
              </w:rPr>
              <w:t>Title: Authorized Signatory</w:t>
            </w:r>
          </w:p>
        </w:tc>
      </w:tr>
    </w:tbl>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For any institution requiring a second signature line:</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075"/>
        <w:gridCol w:w="2300"/>
      </w:tblGrid>
      <w:tr>
        <w:trPr/>
        <w:tc>
          <w:tcPr>
            <w:tcW w:w="2075" w:type="dxa"/>
            <w:tcBorders/>
            <w:vAlign w:val="center"/>
          </w:tcPr>
          <w:p>
            <w:pPr>
              <w:pStyle w:val="TableContents"/>
              <w:bidi w:val="0"/>
              <w:spacing w:before="0" w:after="283"/>
              <w:jc w:val="left"/>
              <w:rPr>
                <w:b/>
              </w:rPr>
            </w:pPr>
            <w:r>
              <w:rPr>
                <w:b/>
              </w:rPr>
              <w:t>Name of Institution:</w:t>
            </w:r>
          </w:p>
        </w:tc>
        <w:tc>
          <w:tcPr>
            <w:tcW w:w="2300" w:type="dxa"/>
            <w:tcBorders>
              <w:bottom w:val="single" w:sz="2" w:space="0" w:color="000000"/>
            </w:tcBorders>
            <w:tcMar>
              <w:bottom w:w="28" w:type="dxa"/>
            </w:tcMar>
            <w:vAlign w:val="center"/>
          </w:tcPr>
          <w:p>
            <w:pPr>
              <w:pStyle w:val="TableContents"/>
              <w:bidi w:val="0"/>
              <w:spacing w:before="0" w:after="283"/>
              <w:jc w:val="left"/>
              <w:rPr/>
            </w:pPr>
            <w:r>
              <w:rPr/>
              <w:t>Wells Fargo Bank 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4" w:type="dxa"/>
        <w:jc w:val="left"/>
        <w:tblInd w:w="0" w:type="dxa"/>
        <w:tblLayout w:type="fixed"/>
        <w:tblCellMar>
          <w:top w:w="0" w:type="dxa"/>
          <w:left w:w="0" w:type="dxa"/>
          <w:bottom w:w="0" w:type="dxa"/>
          <w:right w:w="0" w:type="dxa"/>
        </w:tblCellMar>
      </w:tblPr>
      <w:tblGrid>
        <w:gridCol w:w="90"/>
        <w:gridCol w:w="385"/>
        <w:gridCol w:w="3849"/>
      </w:tblGrid>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sz w:val="20"/>
                <w:u w:val="single"/>
              </w:rPr>
            </w:pPr>
            <w:r>
              <w:rPr>
                <w:sz w:val="20"/>
                <w:u w:val="single"/>
              </w:rPr>
              <w:t>/s/ Sarah Hazelton</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 Sarah Hazelton</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 Vice President</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u w:val="single"/>
              </w:rPr>
            </w:pPr>
            <w:r>
              <w:rPr>
                <w:u w:val="single"/>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both"/>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075"/>
        <w:gridCol w:w="4730"/>
      </w:tblGrid>
      <w:tr>
        <w:trPr/>
        <w:tc>
          <w:tcPr>
            <w:tcW w:w="2075" w:type="dxa"/>
            <w:tcBorders/>
            <w:vAlign w:val="center"/>
          </w:tcPr>
          <w:p>
            <w:pPr>
              <w:pStyle w:val="TableContents"/>
              <w:bidi w:val="0"/>
              <w:spacing w:before="0" w:after="283"/>
              <w:jc w:val="left"/>
              <w:rPr>
                <w:b/>
              </w:rPr>
            </w:pPr>
            <w:r>
              <w:rPr>
                <w:b/>
              </w:rPr>
              <w:t>Name of Institution:</w:t>
            </w:r>
          </w:p>
        </w:tc>
        <w:tc>
          <w:tcPr>
            <w:tcW w:w="4730" w:type="dxa"/>
            <w:tcBorders>
              <w:bottom w:val="single" w:sz="2" w:space="0" w:color="000000"/>
            </w:tcBorders>
            <w:tcMar>
              <w:bottom w:w="28" w:type="dxa"/>
            </w:tcMar>
            <w:vAlign w:val="center"/>
          </w:tcPr>
          <w:p>
            <w:pPr>
              <w:pStyle w:val="TableContents"/>
              <w:bidi w:val="0"/>
              <w:spacing w:before="0" w:after="283"/>
              <w:jc w:val="left"/>
              <w:rPr/>
            </w:pPr>
            <w:r>
              <w:rPr/>
              <w:t>CAPITAL ONE, NATIONAL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3" w:type="dxa"/>
        <w:jc w:val="left"/>
        <w:tblInd w:w="0" w:type="dxa"/>
        <w:tblLayout w:type="fixed"/>
        <w:tblCellMar>
          <w:top w:w="0" w:type="dxa"/>
          <w:left w:w="0" w:type="dxa"/>
          <w:bottom w:w="0" w:type="dxa"/>
          <w:right w:w="0" w:type="dxa"/>
        </w:tblCellMar>
      </w:tblPr>
      <w:tblGrid>
        <w:gridCol w:w="88"/>
        <w:gridCol w:w="379"/>
        <w:gridCol w:w="3856"/>
      </w:tblGrid>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20"/>
              </w:rPr>
            </w:pPr>
            <w:r>
              <w:rPr>
                <w:sz w:val="20"/>
              </w:rPr>
              <w:t>By:</w:t>
            </w:r>
          </w:p>
        </w:tc>
        <w:tc>
          <w:tcPr>
            <w:tcW w:w="3856" w:type="dxa"/>
            <w:tcBorders/>
            <w:vAlign w:val="center"/>
          </w:tcPr>
          <w:p>
            <w:pPr>
              <w:pStyle w:val="TableContents"/>
              <w:bidi w:val="0"/>
              <w:spacing w:before="0" w:after="283"/>
              <w:jc w:val="left"/>
              <w:rPr>
                <w:sz w:val="20"/>
                <w:u w:val="single"/>
              </w:rPr>
            </w:pPr>
            <w:r>
              <w:rPr>
                <w:sz w:val="20"/>
                <w:u w:val="single"/>
              </w:rPr>
              <w:t>/s/ Thomas McCarthy</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sz w:val="20"/>
              </w:rPr>
            </w:pPr>
            <w:r>
              <w:rPr>
                <w:sz w:val="20"/>
              </w:rPr>
              <w:t>Name: Thomas McCarthy</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sz w:val="20"/>
              </w:rPr>
            </w:pPr>
            <w:r>
              <w:rPr>
                <w:sz w:val="20"/>
              </w:rPr>
              <w:t>Title: Duly Authorized Signatory</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pPr>
            <w:r>
              <w:rPr/>
              <w:t> </w:t>
            </w:r>
          </w:p>
        </w:tc>
      </w:tr>
      <w:tr>
        <w:trPr/>
        <w:tc>
          <w:tcPr>
            <w:tcW w:w="4323"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pPr>
            <w:r>
              <w:rPr/>
              <w:t> </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20"/>
              </w:rPr>
            </w:pPr>
            <w:r>
              <w:rPr>
                <w:sz w:val="20"/>
              </w:rPr>
              <w:t>By:</w:t>
            </w:r>
          </w:p>
        </w:tc>
        <w:tc>
          <w:tcPr>
            <w:tcW w:w="3856" w:type="dxa"/>
            <w:tcBorders/>
            <w:vAlign w:val="center"/>
          </w:tcPr>
          <w:p>
            <w:pPr>
              <w:pStyle w:val="TableContents"/>
              <w:bidi w:val="0"/>
              <w:spacing w:before="0" w:after="283"/>
              <w:jc w:val="left"/>
              <w:rPr/>
            </w:pPr>
            <w:r>
              <w:rPr/>
              <w:t> </w:t>
            </w:r>
            <w:r>
              <w:rPr>
                <w:u w:val="single"/>
              </w:rPr>
              <w:t>                                                     </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sz w:val="20"/>
              </w:rPr>
            </w:pPr>
            <w:r>
              <w:rPr>
                <w:sz w:val="20"/>
              </w:rPr>
              <w:t>Name:</w:t>
            </w:r>
          </w:p>
        </w:tc>
      </w:tr>
      <w:tr>
        <w:trPr/>
        <w:tc>
          <w:tcPr>
            <w:tcW w:w="88"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3856"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   ]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2075"/>
        <w:gridCol w:w="5030"/>
      </w:tblGrid>
      <w:tr>
        <w:trPr/>
        <w:tc>
          <w:tcPr>
            <w:tcW w:w="2075" w:type="dxa"/>
            <w:tcBorders/>
            <w:vAlign w:val="center"/>
          </w:tcPr>
          <w:p>
            <w:pPr>
              <w:pStyle w:val="TableContents"/>
              <w:bidi w:val="0"/>
              <w:spacing w:before="0" w:after="283"/>
              <w:jc w:val="left"/>
              <w:rPr>
                <w:b/>
              </w:rPr>
            </w:pPr>
            <w:r>
              <w:rPr>
                <w:b/>
              </w:rPr>
              <w:t>Name of Institution:</w:t>
            </w:r>
          </w:p>
        </w:tc>
        <w:tc>
          <w:tcPr>
            <w:tcW w:w="5030" w:type="dxa"/>
            <w:tcBorders>
              <w:bottom w:val="single" w:sz="2" w:space="0" w:color="000000"/>
            </w:tcBorders>
            <w:tcMar>
              <w:bottom w:w="28" w:type="dxa"/>
            </w:tcMar>
            <w:vAlign w:val="center"/>
          </w:tcPr>
          <w:p>
            <w:pPr>
              <w:pStyle w:val="TableContents"/>
              <w:bidi w:val="0"/>
              <w:spacing w:before="0" w:after="283"/>
              <w:jc w:val="left"/>
              <w:rPr/>
            </w:pPr>
            <w:r>
              <w:rPr/>
              <w:t>MORGAN STANLEY SENIOR FUNDING,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4" w:type="dxa"/>
        <w:jc w:val="left"/>
        <w:tblInd w:w="0" w:type="dxa"/>
        <w:tblLayout w:type="fixed"/>
        <w:tblCellMar>
          <w:top w:w="0" w:type="dxa"/>
          <w:left w:w="0" w:type="dxa"/>
          <w:bottom w:w="0" w:type="dxa"/>
          <w:right w:w="0" w:type="dxa"/>
        </w:tblCellMar>
      </w:tblPr>
      <w:tblGrid>
        <w:gridCol w:w="90"/>
        <w:gridCol w:w="385"/>
        <w:gridCol w:w="3849"/>
      </w:tblGrid>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sz w:val="20"/>
                <w:u w:val="single"/>
              </w:rPr>
            </w:pPr>
            <w:r>
              <w:rPr>
                <w:sz w:val="20"/>
                <w:u w:val="single"/>
              </w:rPr>
              <w:t>/s/ Michael King</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 Michael King</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 Authorized Signatory</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u w:val="single"/>
              </w:rPr>
            </w:pPr>
            <w:r>
              <w:rPr>
                <w:u w:val="single"/>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both"/>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075"/>
        <w:gridCol w:w="1100"/>
      </w:tblGrid>
      <w:tr>
        <w:trPr/>
        <w:tc>
          <w:tcPr>
            <w:tcW w:w="2075" w:type="dxa"/>
            <w:tcBorders/>
            <w:vAlign w:val="center"/>
          </w:tcPr>
          <w:p>
            <w:pPr>
              <w:pStyle w:val="TableContents"/>
              <w:bidi w:val="0"/>
              <w:spacing w:before="0" w:after="283"/>
              <w:jc w:val="left"/>
              <w:rPr>
                <w:b/>
              </w:rPr>
            </w:pPr>
            <w:r>
              <w:rPr>
                <w:b/>
              </w:rPr>
              <w:t>Name of Institution:</w:t>
            </w:r>
          </w:p>
        </w:tc>
        <w:tc>
          <w:tcPr>
            <w:tcW w:w="1100" w:type="dxa"/>
            <w:tcBorders>
              <w:bottom w:val="single" w:sz="2" w:space="0" w:color="000000"/>
            </w:tcBorders>
            <w:tcMar>
              <w:bottom w:w="28" w:type="dxa"/>
            </w:tcMar>
            <w:vAlign w:val="center"/>
          </w:tcPr>
          <w:p>
            <w:pPr>
              <w:pStyle w:val="TableContents"/>
              <w:bidi w:val="0"/>
              <w:spacing w:before="0" w:after="283"/>
              <w:jc w:val="left"/>
              <w:rPr/>
            </w:pPr>
            <w:r>
              <w:rPr/>
              <w:t>M+T Bank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4" w:type="dxa"/>
        <w:jc w:val="left"/>
        <w:tblInd w:w="0" w:type="dxa"/>
        <w:tblLayout w:type="fixed"/>
        <w:tblCellMar>
          <w:top w:w="0" w:type="dxa"/>
          <w:left w:w="0" w:type="dxa"/>
          <w:bottom w:w="0" w:type="dxa"/>
          <w:right w:w="0" w:type="dxa"/>
        </w:tblCellMar>
      </w:tblPr>
      <w:tblGrid>
        <w:gridCol w:w="90"/>
        <w:gridCol w:w="385"/>
        <w:gridCol w:w="3849"/>
      </w:tblGrid>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sz w:val="20"/>
                <w:u w:val="single"/>
              </w:rPr>
            </w:pPr>
            <w:r>
              <w:rPr>
                <w:sz w:val="20"/>
                <w:u w:val="single"/>
              </w:rPr>
              <w:t>/s/ Michael Kid</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 Michael Kid</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 SVP</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u w:val="single"/>
              </w:rPr>
            </w:pPr>
            <w:r>
              <w:rPr>
                <w:u w:val="single"/>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[X]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LENDER ADDENDUM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Lender Addendum (this “</w:t>
      </w:r>
      <w:r>
        <w:rPr>
          <w:rFonts w:ascii="Times New Roman;Times;Serif" w:hAnsi="Times New Roman;Times;Serif"/>
          <w:b/>
          <w:i w:val="false"/>
          <w:caps w:val="false"/>
          <w:smallCaps w:val="false"/>
          <w:sz w:val="20"/>
        </w:rPr>
        <w:t>Revolving Lender Addendum</w:t>
      </w:r>
      <w:r>
        <w:rPr>
          <w:rFonts w:ascii="Times New Roman;Times;Serif" w:hAnsi="Times New Roman;Times;Serif"/>
          <w:b w:val="false"/>
          <w:i w:val="false"/>
          <w:caps w:val="false"/>
          <w:smallCaps w:val="false"/>
          <w:sz w:val="20"/>
        </w:rPr>
        <w:t>”) is referred to in, and is a signature page to, the Third Amendment to Fifth Amended and Restated Credit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that certain Fifth Amended and Restated Credit Agreement, dated as of January 24, 2022 (as amended, restated, amended and restated, supplemented or otherwise modified from time to time prior to the date of the Amendment,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several banks and other financial institutions or entities from time to time parties thereto and Bank of America, N.A.,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Capitalized terms used but not defined in this Revolving Lender Addendum have the meanings assigned to such terms in the Amendment or the Credit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this Revolving Lender Addendum as a Continuing Revolving Lender, the undersigned institution agrees (A) to the terms of the Amendment and the Sixth Amended and Restated Credit Agreement, (B) on the terms and subject to the conditions set forth in the Amendment and the Sixth Amended and Restated Credit Agreement, to continue its Existing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and/or commit to make New Revolving Commitments to the Borrower, in each case,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in the amount of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 (C)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to make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Loans in the amount required to give effect to the provisions of Section 2.05(c) of the Sixth Amended and Restated Credit Agreement and (D) that on the </w:t>
      </w:r>
      <w:r>
        <w:rPr>
          <w:rFonts w:ascii="Times New Roman;Times;Serif" w:hAnsi="Times New Roman;Times;Serif"/>
          <w:b w:val="false"/>
          <w:i w:val="false"/>
          <w:caps w:val="false"/>
          <w:smallCaps w:val="false"/>
          <w:color w:val="000000"/>
          <w:sz w:val="20"/>
        </w:rPr>
        <w:t>Sixth Restatement Effective Date</w:t>
      </w:r>
      <w:r>
        <w:rPr>
          <w:rFonts w:ascii="Times New Roman;Times;Serif" w:hAnsi="Times New Roman;Times;Serif"/>
          <w:b w:val="false"/>
          <w:i w:val="false"/>
          <w:caps w:val="false"/>
          <w:smallCaps w:val="false"/>
          <w:sz w:val="20"/>
        </w:rPr>
        <w:t xml:space="preserve">, it is subject to, and bound by, the terms and conditions of the Sixth Amended and Restated Credit Agreement and other Loan Documents as a Revolving Lender thereunder and its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 xml:space="preserve">Commitments and New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will be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Commitments” or “</w:t>
      </w:r>
      <w:r>
        <w:rPr>
          <w:rFonts w:ascii="Times New Roman;Times;Serif" w:hAnsi="Times New Roman;Times;Serif"/>
          <w:b w:val="false"/>
          <w:i w:val="false"/>
          <w:caps w:val="false"/>
          <w:smallCaps w:val="false"/>
          <w:color w:val="000000"/>
          <w:sz w:val="20"/>
        </w:rPr>
        <w:t xml:space="preserve">Revolving </w:t>
      </w:r>
      <w:r>
        <w:rPr>
          <w:rFonts w:ascii="Times New Roman;Times;Serif" w:hAnsi="Times New Roman;Times;Serif"/>
          <w:b w:val="false"/>
          <w:i w:val="false"/>
          <w:caps w:val="false"/>
          <w:smallCaps w:val="false"/>
          <w:sz w:val="20"/>
        </w:rPr>
        <w:t>Loans”, as applicable, under the Sixth Amended and Restated Credit Agreement.</w:t>
      </w:r>
    </w:p>
    <w:p>
      <w:pPr>
        <w:pStyle w:val="TextBody"/>
        <w:bidi w:val="0"/>
        <w:spacing w:before="0" w:after="0"/>
        <w:ind w:left="0" w:right="0" w:firstLine="144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075"/>
        <w:gridCol w:w="1535"/>
      </w:tblGrid>
      <w:tr>
        <w:trPr/>
        <w:tc>
          <w:tcPr>
            <w:tcW w:w="2075" w:type="dxa"/>
            <w:tcBorders/>
            <w:vAlign w:val="center"/>
          </w:tcPr>
          <w:p>
            <w:pPr>
              <w:pStyle w:val="TableContents"/>
              <w:bidi w:val="0"/>
              <w:spacing w:before="0" w:after="283"/>
              <w:jc w:val="left"/>
              <w:rPr>
                <w:b/>
              </w:rPr>
            </w:pPr>
            <w:r>
              <w:rPr>
                <w:b/>
              </w:rPr>
              <w:t>Name of Institution:</w:t>
            </w:r>
          </w:p>
        </w:tc>
        <w:tc>
          <w:tcPr>
            <w:tcW w:w="1535" w:type="dxa"/>
            <w:tcBorders>
              <w:bottom w:val="single" w:sz="2" w:space="0" w:color="000000"/>
            </w:tcBorders>
            <w:tcMar>
              <w:bottom w:w="28" w:type="dxa"/>
            </w:tcMar>
            <w:vAlign w:val="center"/>
          </w:tcPr>
          <w:p>
            <w:pPr>
              <w:pStyle w:val="TableContents"/>
              <w:bidi w:val="0"/>
              <w:spacing w:before="0" w:after="283"/>
              <w:jc w:val="left"/>
              <w:rPr/>
            </w:pPr>
            <w:r>
              <w:rPr/>
              <w:t>TD Bank, 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Executing as a </w:t>
      </w:r>
      <w:r>
        <w:rPr>
          <w:rFonts w:ascii="Times New Roman;Times;Serif" w:hAnsi="Times New Roman;Times;Serif"/>
          <w:b/>
          <w:i w:val="false"/>
          <w:caps w:val="false"/>
          <w:smallCaps w:val="false"/>
          <w:sz w:val="20"/>
          <w:bdr w:val="single" w:sz="2" w:space="10" w:color="000000"/>
        </w:rPr>
        <w:t xml:space="preserve">New </w:t>
      </w:r>
      <w:r>
        <w:rPr>
          <w:rFonts w:ascii="Times New Roman;Times;Serif" w:hAnsi="Times New Roman;Times;Serif"/>
          <w:b/>
          <w:i w:val="false"/>
          <w:caps w:val="false"/>
          <w:smallCaps w:val="false"/>
          <w:color w:val="000000"/>
          <w:sz w:val="20"/>
          <w:bdr w:val="single" w:sz="2" w:space="10" w:color="000000"/>
        </w:rPr>
        <w:t>Revolving</w:t>
      </w:r>
      <w:r>
        <w:rPr>
          <w:rFonts w:ascii="Times New Roman;Times;Serif" w:hAnsi="Times New Roman;Times;Serif"/>
          <w:b w:val="false"/>
          <w:i w:val="false"/>
          <w:caps w:val="false"/>
          <w:smallCaps w:val="false"/>
          <w:sz w:val="20"/>
          <w:bdr w:val="single" w:sz="2" w:space="10" w:color="000000"/>
        </w:rPr>
        <w:t xml:space="preserve"> </w:t>
      </w:r>
      <w:r>
        <w:rPr>
          <w:rFonts w:ascii="Times New Roman;Times;Serif" w:hAnsi="Times New Roman;Times;Serif"/>
          <w:b/>
          <w:i w:val="false"/>
          <w:caps w:val="false"/>
          <w:smallCaps w:val="false"/>
          <w:sz w:val="20"/>
          <w:bdr w:val="single" w:sz="2" w:space="10" w:color="000000"/>
        </w:rPr>
        <w:t>Lender</w:t>
      </w:r>
      <w:r>
        <w:rPr>
          <w:rFonts w:ascii="Times New Roman;Times;Serif" w:hAnsi="Times New Roman;Times;Serif"/>
          <w:b w:val="false"/>
          <w:i w:val="false"/>
          <w:caps w:val="false"/>
          <w:smallCaps w:val="false"/>
          <w:sz w:val="20"/>
          <w:bdr w:val="single" w:sz="2" w:space="10" w:color="000000"/>
        </w:rPr>
        <w:t>:</w:t>
      </w:r>
    </w:p>
    <w:p>
      <w:pPr>
        <w:pStyle w:val="TextBody"/>
        <w:bidi w:val="0"/>
        <w:spacing w:before="0" w:after="0"/>
        <w:ind w:left="0" w:right="0" w:hanging="0"/>
        <w:jc w:val="left"/>
        <w:rPr>
          <w:caps w:val="false"/>
          <w:smallCaps w:val="false"/>
          <w:bdr w:val="single" w:sz="2" w:space="10" w:color="000000"/>
        </w:rPr>
      </w:pPr>
      <w:r>
        <w:rPr>
          <w:caps w:val="false"/>
          <w:smallCaps w:val="false"/>
          <w:bdr w:val="single" w:sz="2" w:space="10" w:color="000000"/>
        </w:rPr>
        <w:t> </w:t>
      </w:r>
    </w:p>
    <w:tbl>
      <w:tblPr>
        <w:tblW w:w="4324" w:type="dxa"/>
        <w:jc w:val="left"/>
        <w:tblInd w:w="0" w:type="dxa"/>
        <w:tblLayout w:type="fixed"/>
        <w:tblCellMar>
          <w:top w:w="0" w:type="dxa"/>
          <w:left w:w="0" w:type="dxa"/>
          <w:bottom w:w="0" w:type="dxa"/>
          <w:right w:w="0" w:type="dxa"/>
        </w:tblCellMar>
      </w:tblPr>
      <w:tblGrid>
        <w:gridCol w:w="90"/>
        <w:gridCol w:w="385"/>
        <w:gridCol w:w="3849"/>
      </w:tblGrid>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sz w:val="20"/>
                <w:u w:val="single"/>
              </w:rPr>
            </w:pPr>
            <w:r>
              <w:rPr>
                <w:sz w:val="20"/>
                <w:u w:val="single"/>
              </w:rPr>
              <w:t>/s/ Matthew Cunningham</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 Matthew Cunningham</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 Vice President</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283"/>
              <w:jc w:val="left"/>
              <w:rPr>
                <w:sz w:val="20"/>
              </w:rPr>
            </w:pPr>
            <w:r>
              <w:rPr>
                <w:sz w:val="20"/>
              </w:rPr>
              <w:t>For any institution requiring a second signature line: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By:</w:t>
            </w:r>
          </w:p>
        </w:tc>
        <w:tc>
          <w:tcPr>
            <w:tcW w:w="3849" w:type="dxa"/>
            <w:tcBorders/>
            <w:vAlign w:val="center"/>
          </w:tcPr>
          <w:p>
            <w:pPr>
              <w:pStyle w:val="TableContents"/>
              <w:bidi w:val="0"/>
              <w:spacing w:before="0" w:after="283"/>
              <w:jc w:val="left"/>
              <w:rPr>
                <w:u w:val="single"/>
              </w:rPr>
            </w:pPr>
            <w:r>
              <w:rPr>
                <w:u w:val="single"/>
              </w:rPr>
              <w:t>                                                     </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Name:</w:t>
            </w:r>
          </w:p>
        </w:tc>
      </w:tr>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both"/>
        <w:rPr>
          <w:caps w:val="false"/>
          <w:smallCaps w:val="false"/>
          <w:bdr w:val="single" w:sz="2" w:space="10" w:color="000000"/>
        </w:rPr>
      </w:pPr>
      <w:r>
        <w:rPr>
          <w:caps w:val="false"/>
          <w:smallCaps w:val="false"/>
          <w:bdr w:val="single" w:sz="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2" w:space="10" w:color="000000"/>
        </w:rPr>
      </w:pPr>
      <w:r>
        <w:rPr>
          <w:rFonts w:ascii="Times New Roman;Times;Serif" w:hAnsi="Times New Roman;Times;Serif"/>
          <w:b w:val="false"/>
          <w:i w:val="false"/>
          <w:caps w:val="false"/>
          <w:smallCaps w:val="false"/>
          <w:sz w:val="20"/>
          <w:bdr w:val="single" w:sz="2" w:space="10" w:color="000000"/>
        </w:rPr>
        <w:t xml:space="preserve">[   ] </w:t>
      </w:r>
      <w:r>
        <w:rPr>
          <w:rFonts w:ascii="Times New Roman;Times;Serif" w:hAnsi="Times New Roman;Times;Serif"/>
          <w:b/>
          <w:i w:val="false"/>
          <w:caps/>
          <w:sz w:val="20"/>
          <w:bdr w:val="single" w:sz="2" w:space="10" w:color="000000"/>
        </w:rPr>
        <w:t>Check here if a continuing REVOLVING Lender elects a cashless roll of its EXISTING REVOLVING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 Third Amendment to Fifth Amended and Restated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2" w:space="1" w:color="000000"/>
        </w:rPr>
      </w:pPr>
      <w:r>
        <w:rPr>
          <w:bdr w:val="single" w:sz="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AMENDED AND RESTATED CREDIT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w:t>
        <w:br/>
        <w:t>as the Borrower,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w:t>
        <w:br/>
        <w:t>DEUTSCHE BANK SECURITIES INC.,</w:t>
        <w:br/>
        <w:t>GOLDMAN SACHS BANK USA</w:t>
        <w:br/>
        <w:t>and</w:t>
        <w:br/>
        <w:t>WELLS FARGO BANK, NATIONAL ASSOCIATION,</w:t>
        <w:br/>
        <w:t>as Co-Syndication Agents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br/>
        <w:t>MANUFACTURERS AND TRADERS TRUST COMPANY,</w:t>
        <w:br/>
        <w:t>MORGAN STANLEY SENIOR FUNDING,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br/>
        <w:t>TD BANK, N.A.,</w:t>
        <w:br/>
        <w:t>as Co-Documentation Agents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br/>
        <w:t>as Administrative Agent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BNP PARIBAS SECURITIES CORP.,</w:t>
        <w:br/>
        <w:t>DEUTSCHE BANK SECURITIES INC.,</w:t>
        <w:br/>
        <w:t>GOLDMAN SACHS BANK USA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br/>
        <w:t>WELLS FARGO SECURITIES, LLC,</w:t>
        <w:br/>
        <w:t>as Joint Lead Arrangers and Bookrunners</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2" w:space="1" w:color="000000"/>
        </w:rPr>
      </w:pPr>
      <w:r>
        <w:rPr>
          <w:bdr w:val="single" w:sz="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610"/>
        <w:gridCol w:w="6020"/>
        <w:gridCol w:w="500"/>
      </w:tblGrid>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right"/>
              <w:rPr/>
            </w:pPr>
            <w:r>
              <w:rPr/>
              <w:t> </w:t>
            </w:r>
          </w:p>
        </w:tc>
      </w:tr>
      <w:tr>
        <w:trPr/>
        <w:tc>
          <w:tcPr>
            <w:tcW w:w="8130" w:type="dxa"/>
            <w:gridSpan w:val="3"/>
            <w:tcBorders/>
            <w:vAlign w:val="center"/>
          </w:tcPr>
          <w:p>
            <w:pPr>
              <w:pStyle w:val="TableContents"/>
              <w:bidi w:val="0"/>
              <w:spacing w:before="0" w:after="283"/>
              <w:jc w:val="center"/>
              <w:rPr/>
            </w:pPr>
            <w:r>
              <w:rPr/>
              <w:t>ARTICLE I.</w:t>
              <w:br/>
              <w:t>DEFINITIONS</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1610" w:type="dxa"/>
            <w:tcBorders/>
            <w:vAlign w:val="center"/>
          </w:tcPr>
          <w:p>
            <w:pPr>
              <w:pStyle w:val="TableContents"/>
              <w:bidi w:val="0"/>
              <w:spacing w:before="0" w:after="283"/>
              <w:jc w:val="left"/>
              <w:rPr>
                <w:b/>
              </w:rPr>
            </w:pPr>
            <w:r>
              <w:rPr>
                <w:b/>
              </w:rPr>
              <w:t>SECTION 1.01</w:t>
            </w:r>
          </w:p>
        </w:tc>
        <w:tc>
          <w:tcPr>
            <w:tcW w:w="6020" w:type="dxa"/>
            <w:tcBorders/>
            <w:vAlign w:val="center"/>
          </w:tcPr>
          <w:p>
            <w:pPr>
              <w:pStyle w:val="TableContents"/>
              <w:bidi w:val="0"/>
              <w:spacing w:before="0" w:after="283"/>
              <w:jc w:val="left"/>
              <w:rPr/>
            </w:pPr>
            <w:r>
              <w:rPr/>
              <w:t>Defined Terms</w:t>
            </w:r>
          </w:p>
        </w:tc>
        <w:tc>
          <w:tcPr>
            <w:tcW w:w="500" w:type="dxa"/>
            <w:tcBorders/>
            <w:vAlign w:val="center"/>
          </w:tcPr>
          <w:p>
            <w:pPr>
              <w:pStyle w:val="TableContents"/>
              <w:bidi w:val="0"/>
              <w:spacing w:before="0" w:after="283"/>
              <w:jc w:val="right"/>
              <w:rPr/>
            </w:pPr>
            <w:r>
              <w:rPr/>
              <w:t>1</w:t>
            </w:r>
          </w:p>
        </w:tc>
      </w:tr>
      <w:tr>
        <w:trPr/>
        <w:tc>
          <w:tcPr>
            <w:tcW w:w="1610" w:type="dxa"/>
            <w:tcBorders/>
            <w:vAlign w:val="center"/>
          </w:tcPr>
          <w:p>
            <w:pPr>
              <w:pStyle w:val="TableContents"/>
              <w:bidi w:val="0"/>
              <w:spacing w:before="0" w:after="283"/>
              <w:jc w:val="left"/>
              <w:rPr>
                <w:b/>
              </w:rPr>
            </w:pPr>
            <w:r>
              <w:rPr>
                <w:b/>
              </w:rPr>
              <w:t>SECTION 1.02</w:t>
            </w:r>
          </w:p>
        </w:tc>
        <w:tc>
          <w:tcPr>
            <w:tcW w:w="6020" w:type="dxa"/>
            <w:tcBorders/>
            <w:vAlign w:val="center"/>
          </w:tcPr>
          <w:p>
            <w:pPr>
              <w:pStyle w:val="TableContents"/>
              <w:bidi w:val="0"/>
              <w:spacing w:before="0" w:after="283"/>
              <w:jc w:val="left"/>
              <w:rPr/>
            </w:pPr>
            <w:r>
              <w:rPr/>
              <w:t>Terms Generally</w:t>
            </w:r>
          </w:p>
        </w:tc>
        <w:tc>
          <w:tcPr>
            <w:tcW w:w="500" w:type="dxa"/>
            <w:tcBorders/>
            <w:vAlign w:val="center"/>
          </w:tcPr>
          <w:p>
            <w:pPr>
              <w:pStyle w:val="TableContents"/>
              <w:bidi w:val="0"/>
              <w:spacing w:before="0" w:after="283"/>
              <w:jc w:val="right"/>
              <w:rPr/>
            </w:pPr>
            <w:r>
              <w:rPr/>
              <w:t>34</w:t>
            </w:r>
          </w:p>
        </w:tc>
      </w:tr>
      <w:tr>
        <w:trPr/>
        <w:tc>
          <w:tcPr>
            <w:tcW w:w="1610" w:type="dxa"/>
            <w:tcBorders/>
            <w:vAlign w:val="center"/>
          </w:tcPr>
          <w:p>
            <w:pPr>
              <w:pStyle w:val="TableContents"/>
              <w:bidi w:val="0"/>
              <w:spacing w:before="0" w:after="283"/>
              <w:jc w:val="left"/>
              <w:rPr>
                <w:b/>
              </w:rPr>
            </w:pPr>
            <w:r>
              <w:rPr>
                <w:b/>
              </w:rPr>
              <w:t>SECTION 1.03</w:t>
            </w:r>
          </w:p>
        </w:tc>
        <w:tc>
          <w:tcPr>
            <w:tcW w:w="6020" w:type="dxa"/>
            <w:tcBorders/>
            <w:vAlign w:val="center"/>
          </w:tcPr>
          <w:p>
            <w:pPr>
              <w:pStyle w:val="TableContents"/>
              <w:bidi w:val="0"/>
              <w:spacing w:before="0" w:after="283"/>
              <w:jc w:val="left"/>
              <w:rPr/>
            </w:pPr>
            <w:r>
              <w:rPr/>
              <w:t>Letter of Credit Amounts</w:t>
            </w:r>
          </w:p>
        </w:tc>
        <w:tc>
          <w:tcPr>
            <w:tcW w:w="500" w:type="dxa"/>
            <w:tcBorders/>
            <w:vAlign w:val="center"/>
          </w:tcPr>
          <w:p>
            <w:pPr>
              <w:pStyle w:val="TableContents"/>
              <w:bidi w:val="0"/>
              <w:spacing w:before="0" w:after="283"/>
              <w:jc w:val="right"/>
              <w:rPr/>
            </w:pPr>
            <w:r>
              <w:rPr/>
              <w:t>34</w:t>
            </w:r>
          </w:p>
        </w:tc>
      </w:tr>
      <w:tr>
        <w:trPr/>
        <w:tc>
          <w:tcPr>
            <w:tcW w:w="1610" w:type="dxa"/>
            <w:tcBorders/>
            <w:vAlign w:val="center"/>
          </w:tcPr>
          <w:p>
            <w:pPr>
              <w:pStyle w:val="TableContents"/>
              <w:bidi w:val="0"/>
              <w:spacing w:before="0" w:after="283"/>
              <w:jc w:val="left"/>
              <w:rPr>
                <w:b/>
              </w:rPr>
            </w:pPr>
            <w:r>
              <w:rPr>
                <w:b/>
              </w:rPr>
              <w:t>SECTION 1.04</w:t>
            </w:r>
          </w:p>
        </w:tc>
        <w:tc>
          <w:tcPr>
            <w:tcW w:w="6020" w:type="dxa"/>
            <w:tcBorders/>
            <w:vAlign w:val="center"/>
          </w:tcPr>
          <w:p>
            <w:pPr>
              <w:pStyle w:val="TableContents"/>
              <w:bidi w:val="0"/>
              <w:spacing w:before="0" w:after="283"/>
              <w:jc w:val="left"/>
              <w:rPr/>
            </w:pPr>
            <w:r>
              <w:rPr/>
              <w:t>Accounting Terms; GAAP</w:t>
            </w:r>
          </w:p>
        </w:tc>
        <w:tc>
          <w:tcPr>
            <w:tcW w:w="500" w:type="dxa"/>
            <w:tcBorders/>
            <w:vAlign w:val="center"/>
          </w:tcPr>
          <w:p>
            <w:pPr>
              <w:pStyle w:val="TableContents"/>
              <w:bidi w:val="0"/>
              <w:spacing w:before="0" w:after="283"/>
              <w:jc w:val="right"/>
              <w:rPr/>
            </w:pPr>
            <w:r>
              <w:rPr/>
              <w:t>34</w:t>
            </w:r>
          </w:p>
        </w:tc>
      </w:tr>
      <w:tr>
        <w:trPr/>
        <w:tc>
          <w:tcPr>
            <w:tcW w:w="1610" w:type="dxa"/>
            <w:tcBorders/>
            <w:vAlign w:val="center"/>
          </w:tcPr>
          <w:p>
            <w:pPr>
              <w:pStyle w:val="TableContents"/>
              <w:bidi w:val="0"/>
              <w:spacing w:before="0" w:after="283"/>
              <w:jc w:val="left"/>
              <w:rPr>
                <w:b/>
              </w:rPr>
            </w:pPr>
            <w:r>
              <w:rPr>
                <w:b/>
              </w:rPr>
              <w:t>SECTION 1.05</w:t>
            </w:r>
          </w:p>
        </w:tc>
        <w:tc>
          <w:tcPr>
            <w:tcW w:w="6020" w:type="dxa"/>
            <w:tcBorders/>
            <w:vAlign w:val="center"/>
          </w:tcPr>
          <w:p>
            <w:pPr>
              <w:pStyle w:val="TableContents"/>
              <w:bidi w:val="0"/>
              <w:spacing w:before="0" w:after="283"/>
              <w:jc w:val="left"/>
              <w:rPr/>
            </w:pPr>
            <w:r>
              <w:rPr/>
              <w:t>Currencies; Currency Equivalents; Euro</w:t>
            </w:r>
          </w:p>
        </w:tc>
        <w:tc>
          <w:tcPr>
            <w:tcW w:w="500" w:type="dxa"/>
            <w:tcBorders/>
            <w:vAlign w:val="center"/>
          </w:tcPr>
          <w:p>
            <w:pPr>
              <w:pStyle w:val="TableContents"/>
              <w:bidi w:val="0"/>
              <w:spacing w:before="0" w:after="283"/>
              <w:jc w:val="right"/>
              <w:rPr/>
            </w:pPr>
            <w:r>
              <w:rPr/>
              <w:t>35</w:t>
            </w:r>
          </w:p>
        </w:tc>
      </w:tr>
      <w:tr>
        <w:trPr/>
        <w:tc>
          <w:tcPr>
            <w:tcW w:w="1610" w:type="dxa"/>
            <w:tcBorders/>
            <w:vAlign w:val="center"/>
          </w:tcPr>
          <w:p>
            <w:pPr>
              <w:pStyle w:val="TableContents"/>
              <w:bidi w:val="0"/>
              <w:spacing w:before="0" w:after="283"/>
              <w:jc w:val="left"/>
              <w:rPr>
                <w:b/>
              </w:rPr>
            </w:pPr>
            <w:r>
              <w:rPr>
                <w:b/>
              </w:rPr>
              <w:t>SECTION 1.06</w:t>
            </w:r>
          </w:p>
        </w:tc>
        <w:tc>
          <w:tcPr>
            <w:tcW w:w="6020" w:type="dxa"/>
            <w:tcBorders/>
            <w:vAlign w:val="center"/>
          </w:tcPr>
          <w:p>
            <w:pPr>
              <w:pStyle w:val="TableContents"/>
              <w:bidi w:val="0"/>
              <w:spacing w:before="0" w:after="283"/>
              <w:jc w:val="left"/>
              <w:rPr/>
            </w:pPr>
            <w:r>
              <w:rPr/>
              <w:t>Additional Agreed Foreign Currencies</w:t>
            </w:r>
          </w:p>
        </w:tc>
        <w:tc>
          <w:tcPr>
            <w:tcW w:w="500" w:type="dxa"/>
            <w:tcBorders/>
            <w:vAlign w:val="center"/>
          </w:tcPr>
          <w:p>
            <w:pPr>
              <w:pStyle w:val="TableContents"/>
              <w:bidi w:val="0"/>
              <w:spacing w:before="0" w:after="283"/>
              <w:jc w:val="right"/>
              <w:rPr/>
            </w:pPr>
            <w:r>
              <w:rPr/>
              <w:t>35</w:t>
            </w:r>
          </w:p>
        </w:tc>
      </w:tr>
      <w:tr>
        <w:trPr/>
        <w:tc>
          <w:tcPr>
            <w:tcW w:w="1610" w:type="dxa"/>
            <w:tcBorders/>
            <w:vAlign w:val="center"/>
          </w:tcPr>
          <w:p>
            <w:pPr>
              <w:pStyle w:val="TableContents"/>
              <w:bidi w:val="0"/>
              <w:spacing w:before="0" w:after="283"/>
              <w:jc w:val="left"/>
              <w:rPr>
                <w:b/>
              </w:rPr>
            </w:pPr>
            <w:r>
              <w:rPr>
                <w:b/>
              </w:rPr>
              <w:t>SECTION 1.07</w:t>
            </w:r>
          </w:p>
        </w:tc>
        <w:tc>
          <w:tcPr>
            <w:tcW w:w="6020" w:type="dxa"/>
            <w:tcBorders/>
            <w:vAlign w:val="center"/>
          </w:tcPr>
          <w:p>
            <w:pPr>
              <w:pStyle w:val="TableContents"/>
              <w:bidi w:val="0"/>
              <w:spacing w:before="0" w:after="283"/>
              <w:jc w:val="left"/>
              <w:rPr/>
            </w:pPr>
            <w:r>
              <w:rPr/>
              <w:t>Interest Rates</w:t>
            </w:r>
          </w:p>
        </w:tc>
        <w:tc>
          <w:tcPr>
            <w:tcW w:w="500" w:type="dxa"/>
            <w:tcBorders/>
            <w:vAlign w:val="center"/>
          </w:tcPr>
          <w:p>
            <w:pPr>
              <w:pStyle w:val="TableContents"/>
              <w:bidi w:val="0"/>
              <w:spacing w:before="0" w:after="283"/>
              <w:jc w:val="right"/>
              <w:rPr/>
            </w:pPr>
            <w:r>
              <w:rPr/>
              <w:t>36</w:t>
            </w:r>
          </w:p>
        </w:tc>
      </w:tr>
      <w:tr>
        <w:trPr/>
        <w:tc>
          <w:tcPr>
            <w:tcW w:w="1610" w:type="dxa"/>
            <w:tcBorders/>
            <w:vAlign w:val="center"/>
          </w:tcPr>
          <w:p>
            <w:pPr>
              <w:pStyle w:val="TableContents"/>
              <w:bidi w:val="0"/>
              <w:spacing w:before="0" w:after="283"/>
              <w:jc w:val="left"/>
              <w:rPr>
                <w:b/>
              </w:rPr>
            </w:pPr>
            <w:r>
              <w:rPr>
                <w:b/>
              </w:rPr>
              <w:t>SECTION 1.08</w:t>
            </w:r>
          </w:p>
        </w:tc>
        <w:tc>
          <w:tcPr>
            <w:tcW w:w="6020" w:type="dxa"/>
            <w:tcBorders/>
            <w:vAlign w:val="center"/>
          </w:tcPr>
          <w:p>
            <w:pPr>
              <w:pStyle w:val="TableContents"/>
              <w:bidi w:val="0"/>
              <w:spacing w:before="0" w:after="283"/>
              <w:jc w:val="left"/>
              <w:rPr/>
            </w:pPr>
            <w:r>
              <w:rPr/>
              <w:t>Pro Forma Calculations</w:t>
            </w:r>
          </w:p>
        </w:tc>
        <w:tc>
          <w:tcPr>
            <w:tcW w:w="500" w:type="dxa"/>
            <w:tcBorders/>
            <w:vAlign w:val="center"/>
          </w:tcPr>
          <w:p>
            <w:pPr>
              <w:pStyle w:val="TableContents"/>
              <w:bidi w:val="0"/>
              <w:spacing w:before="0" w:after="283"/>
              <w:jc w:val="right"/>
              <w:rPr/>
            </w:pPr>
            <w:r>
              <w:rPr/>
              <w:t>37</w:t>
            </w:r>
          </w:p>
        </w:tc>
      </w:tr>
      <w:tr>
        <w:trPr/>
        <w:tc>
          <w:tcPr>
            <w:tcW w:w="1610" w:type="dxa"/>
            <w:tcBorders/>
            <w:vAlign w:val="center"/>
          </w:tcPr>
          <w:p>
            <w:pPr>
              <w:pStyle w:val="TableContents"/>
              <w:bidi w:val="0"/>
              <w:spacing w:before="0" w:after="283"/>
              <w:jc w:val="left"/>
              <w:rPr>
                <w:b/>
              </w:rPr>
            </w:pPr>
            <w:r>
              <w:rPr>
                <w:b/>
              </w:rPr>
              <w:t>SECTION 1.09</w:t>
            </w:r>
          </w:p>
        </w:tc>
        <w:tc>
          <w:tcPr>
            <w:tcW w:w="6020" w:type="dxa"/>
            <w:tcBorders/>
            <w:vAlign w:val="center"/>
          </w:tcPr>
          <w:p>
            <w:pPr>
              <w:pStyle w:val="TableContents"/>
              <w:bidi w:val="0"/>
              <w:spacing w:before="0" w:after="283"/>
              <w:jc w:val="left"/>
              <w:rPr/>
            </w:pPr>
            <w:r>
              <w:rPr/>
              <w:t>Limited Condition Transactions; Certain Calculations and Tests</w:t>
            </w:r>
          </w:p>
        </w:tc>
        <w:tc>
          <w:tcPr>
            <w:tcW w:w="500" w:type="dxa"/>
            <w:tcBorders/>
            <w:vAlign w:val="center"/>
          </w:tcPr>
          <w:p>
            <w:pPr>
              <w:pStyle w:val="TableContents"/>
              <w:bidi w:val="0"/>
              <w:spacing w:before="0" w:after="283"/>
              <w:jc w:val="right"/>
              <w:rPr/>
            </w:pPr>
            <w:r>
              <w:rPr/>
              <w:t>38</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8130" w:type="dxa"/>
            <w:gridSpan w:val="3"/>
            <w:tcBorders/>
            <w:vAlign w:val="center"/>
          </w:tcPr>
          <w:p>
            <w:pPr>
              <w:pStyle w:val="TableContents"/>
              <w:bidi w:val="0"/>
              <w:spacing w:before="0" w:after="283"/>
              <w:jc w:val="center"/>
              <w:rPr/>
            </w:pPr>
            <w:r>
              <w:rPr/>
              <w:t>ARTICLE II.</w:t>
              <w:br/>
              <w:t>THE CREDITS</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1610" w:type="dxa"/>
            <w:tcBorders/>
            <w:vAlign w:val="center"/>
          </w:tcPr>
          <w:p>
            <w:pPr>
              <w:pStyle w:val="TableContents"/>
              <w:bidi w:val="0"/>
              <w:spacing w:before="0" w:after="283"/>
              <w:jc w:val="left"/>
              <w:rPr>
                <w:b/>
              </w:rPr>
            </w:pPr>
            <w:r>
              <w:rPr>
                <w:b/>
              </w:rPr>
              <w:t>SECTION 2.01</w:t>
            </w:r>
          </w:p>
        </w:tc>
        <w:tc>
          <w:tcPr>
            <w:tcW w:w="6020" w:type="dxa"/>
            <w:tcBorders/>
            <w:vAlign w:val="center"/>
          </w:tcPr>
          <w:p>
            <w:pPr>
              <w:pStyle w:val="TableContents"/>
              <w:bidi w:val="0"/>
              <w:spacing w:before="0" w:after="283"/>
              <w:jc w:val="left"/>
              <w:rPr/>
            </w:pPr>
            <w:r>
              <w:rPr/>
              <w:t>The Commitments</w:t>
            </w:r>
          </w:p>
        </w:tc>
        <w:tc>
          <w:tcPr>
            <w:tcW w:w="500" w:type="dxa"/>
            <w:tcBorders/>
            <w:vAlign w:val="center"/>
          </w:tcPr>
          <w:p>
            <w:pPr>
              <w:pStyle w:val="TableContents"/>
              <w:bidi w:val="0"/>
              <w:spacing w:before="0" w:after="283"/>
              <w:jc w:val="right"/>
              <w:rPr/>
            </w:pPr>
            <w:r>
              <w:rPr/>
              <w:t>39</w:t>
            </w:r>
          </w:p>
        </w:tc>
      </w:tr>
      <w:tr>
        <w:trPr/>
        <w:tc>
          <w:tcPr>
            <w:tcW w:w="1610" w:type="dxa"/>
            <w:tcBorders/>
            <w:vAlign w:val="center"/>
          </w:tcPr>
          <w:p>
            <w:pPr>
              <w:pStyle w:val="TableContents"/>
              <w:bidi w:val="0"/>
              <w:spacing w:before="0" w:after="283"/>
              <w:jc w:val="left"/>
              <w:rPr>
                <w:b/>
              </w:rPr>
            </w:pPr>
            <w:r>
              <w:rPr>
                <w:b/>
              </w:rPr>
              <w:t>SECTION 2.02</w:t>
            </w:r>
          </w:p>
        </w:tc>
        <w:tc>
          <w:tcPr>
            <w:tcW w:w="6020" w:type="dxa"/>
            <w:tcBorders/>
            <w:vAlign w:val="center"/>
          </w:tcPr>
          <w:p>
            <w:pPr>
              <w:pStyle w:val="TableContents"/>
              <w:bidi w:val="0"/>
              <w:spacing w:before="0" w:after="283"/>
              <w:jc w:val="left"/>
              <w:rPr/>
            </w:pPr>
            <w:r>
              <w:rPr/>
              <w:t>Loans and Borrowings</w:t>
            </w:r>
          </w:p>
        </w:tc>
        <w:tc>
          <w:tcPr>
            <w:tcW w:w="500" w:type="dxa"/>
            <w:tcBorders/>
            <w:vAlign w:val="center"/>
          </w:tcPr>
          <w:p>
            <w:pPr>
              <w:pStyle w:val="TableContents"/>
              <w:bidi w:val="0"/>
              <w:spacing w:before="0" w:after="283"/>
              <w:jc w:val="right"/>
              <w:rPr/>
            </w:pPr>
            <w:r>
              <w:rPr/>
              <w:t>40</w:t>
            </w:r>
          </w:p>
        </w:tc>
      </w:tr>
      <w:tr>
        <w:trPr/>
        <w:tc>
          <w:tcPr>
            <w:tcW w:w="1610" w:type="dxa"/>
            <w:tcBorders/>
            <w:vAlign w:val="center"/>
          </w:tcPr>
          <w:p>
            <w:pPr>
              <w:pStyle w:val="TableContents"/>
              <w:bidi w:val="0"/>
              <w:spacing w:before="0" w:after="283"/>
              <w:jc w:val="left"/>
              <w:rPr>
                <w:b/>
              </w:rPr>
            </w:pPr>
            <w:r>
              <w:rPr>
                <w:b/>
              </w:rPr>
              <w:t>SECTION 2.03</w:t>
            </w:r>
          </w:p>
        </w:tc>
        <w:tc>
          <w:tcPr>
            <w:tcW w:w="6020" w:type="dxa"/>
            <w:tcBorders/>
            <w:vAlign w:val="center"/>
          </w:tcPr>
          <w:p>
            <w:pPr>
              <w:pStyle w:val="TableContents"/>
              <w:bidi w:val="0"/>
              <w:spacing w:before="0" w:after="283"/>
              <w:jc w:val="left"/>
              <w:rPr/>
            </w:pPr>
            <w:r>
              <w:rPr/>
              <w:t>Requests for Borrowings</w:t>
            </w:r>
          </w:p>
        </w:tc>
        <w:tc>
          <w:tcPr>
            <w:tcW w:w="500" w:type="dxa"/>
            <w:tcBorders/>
            <w:vAlign w:val="center"/>
          </w:tcPr>
          <w:p>
            <w:pPr>
              <w:pStyle w:val="TableContents"/>
              <w:bidi w:val="0"/>
              <w:spacing w:before="0" w:after="283"/>
              <w:jc w:val="right"/>
              <w:rPr/>
            </w:pPr>
            <w:r>
              <w:rPr/>
              <w:t>40</w:t>
            </w:r>
          </w:p>
        </w:tc>
      </w:tr>
      <w:tr>
        <w:trPr/>
        <w:tc>
          <w:tcPr>
            <w:tcW w:w="1610" w:type="dxa"/>
            <w:tcBorders/>
            <w:vAlign w:val="center"/>
          </w:tcPr>
          <w:p>
            <w:pPr>
              <w:pStyle w:val="TableContents"/>
              <w:bidi w:val="0"/>
              <w:spacing w:before="0" w:after="283"/>
              <w:jc w:val="left"/>
              <w:rPr>
                <w:b/>
              </w:rPr>
            </w:pPr>
            <w:r>
              <w:rPr>
                <w:b/>
              </w:rPr>
              <w:t>SECTION 2.04</w:t>
            </w:r>
          </w:p>
        </w:tc>
        <w:tc>
          <w:tcPr>
            <w:tcW w:w="6020" w:type="dxa"/>
            <w:tcBorders/>
            <w:vAlign w:val="center"/>
          </w:tcPr>
          <w:p>
            <w:pPr>
              <w:pStyle w:val="TableContents"/>
              <w:bidi w:val="0"/>
              <w:spacing w:before="0" w:after="283"/>
              <w:jc w:val="left"/>
              <w:rPr/>
            </w:pPr>
            <w:r>
              <w:rPr/>
              <w:t>Letters of Credit</w:t>
            </w:r>
          </w:p>
        </w:tc>
        <w:tc>
          <w:tcPr>
            <w:tcW w:w="500" w:type="dxa"/>
            <w:tcBorders/>
            <w:vAlign w:val="center"/>
          </w:tcPr>
          <w:p>
            <w:pPr>
              <w:pStyle w:val="TableContents"/>
              <w:bidi w:val="0"/>
              <w:spacing w:before="0" w:after="283"/>
              <w:jc w:val="right"/>
              <w:rPr/>
            </w:pPr>
            <w:r>
              <w:rPr/>
              <w:t>41</w:t>
            </w:r>
          </w:p>
        </w:tc>
      </w:tr>
      <w:tr>
        <w:trPr/>
        <w:tc>
          <w:tcPr>
            <w:tcW w:w="1610" w:type="dxa"/>
            <w:tcBorders/>
            <w:vAlign w:val="center"/>
          </w:tcPr>
          <w:p>
            <w:pPr>
              <w:pStyle w:val="TableContents"/>
              <w:bidi w:val="0"/>
              <w:spacing w:before="0" w:after="283"/>
              <w:jc w:val="left"/>
              <w:rPr>
                <w:b/>
              </w:rPr>
            </w:pPr>
            <w:r>
              <w:rPr>
                <w:b/>
              </w:rPr>
              <w:t>SECTION 2.05</w:t>
            </w:r>
          </w:p>
        </w:tc>
        <w:tc>
          <w:tcPr>
            <w:tcW w:w="6020" w:type="dxa"/>
            <w:tcBorders/>
            <w:vAlign w:val="center"/>
          </w:tcPr>
          <w:p>
            <w:pPr>
              <w:pStyle w:val="TableContents"/>
              <w:bidi w:val="0"/>
              <w:spacing w:before="0" w:after="283"/>
              <w:jc w:val="left"/>
              <w:rPr/>
            </w:pPr>
            <w:r>
              <w:rPr/>
              <w:t>Funding of Borrowings</w:t>
            </w:r>
          </w:p>
        </w:tc>
        <w:tc>
          <w:tcPr>
            <w:tcW w:w="500" w:type="dxa"/>
            <w:tcBorders/>
            <w:vAlign w:val="center"/>
          </w:tcPr>
          <w:p>
            <w:pPr>
              <w:pStyle w:val="TableContents"/>
              <w:bidi w:val="0"/>
              <w:spacing w:before="0" w:after="283"/>
              <w:jc w:val="right"/>
              <w:rPr/>
            </w:pPr>
            <w:r>
              <w:rPr/>
              <w:t>46</w:t>
            </w:r>
          </w:p>
        </w:tc>
      </w:tr>
      <w:tr>
        <w:trPr/>
        <w:tc>
          <w:tcPr>
            <w:tcW w:w="1610" w:type="dxa"/>
            <w:tcBorders/>
            <w:vAlign w:val="center"/>
          </w:tcPr>
          <w:p>
            <w:pPr>
              <w:pStyle w:val="TableContents"/>
              <w:bidi w:val="0"/>
              <w:spacing w:before="0" w:after="283"/>
              <w:jc w:val="left"/>
              <w:rPr>
                <w:b/>
              </w:rPr>
            </w:pPr>
            <w:r>
              <w:rPr>
                <w:b/>
              </w:rPr>
              <w:t>SECTION 2.06</w:t>
            </w:r>
          </w:p>
        </w:tc>
        <w:tc>
          <w:tcPr>
            <w:tcW w:w="6020" w:type="dxa"/>
            <w:tcBorders/>
            <w:vAlign w:val="center"/>
          </w:tcPr>
          <w:p>
            <w:pPr>
              <w:pStyle w:val="TableContents"/>
              <w:bidi w:val="0"/>
              <w:spacing w:before="0" w:after="283"/>
              <w:jc w:val="left"/>
              <w:rPr/>
            </w:pPr>
            <w:r>
              <w:rPr/>
              <w:t>Interest Elections</w:t>
            </w:r>
          </w:p>
        </w:tc>
        <w:tc>
          <w:tcPr>
            <w:tcW w:w="500" w:type="dxa"/>
            <w:tcBorders/>
            <w:vAlign w:val="center"/>
          </w:tcPr>
          <w:p>
            <w:pPr>
              <w:pStyle w:val="TableContents"/>
              <w:bidi w:val="0"/>
              <w:spacing w:before="0" w:after="283"/>
              <w:jc w:val="right"/>
              <w:rPr/>
            </w:pPr>
            <w:r>
              <w:rPr/>
              <w:t>47</w:t>
            </w:r>
          </w:p>
        </w:tc>
      </w:tr>
      <w:tr>
        <w:trPr/>
        <w:tc>
          <w:tcPr>
            <w:tcW w:w="1610" w:type="dxa"/>
            <w:tcBorders/>
            <w:vAlign w:val="center"/>
          </w:tcPr>
          <w:p>
            <w:pPr>
              <w:pStyle w:val="TableContents"/>
              <w:bidi w:val="0"/>
              <w:spacing w:before="0" w:after="283"/>
              <w:jc w:val="left"/>
              <w:rPr>
                <w:b/>
              </w:rPr>
            </w:pPr>
            <w:r>
              <w:rPr>
                <w:b/>
              </w:rPr>
              <w:t>SECTION 2.07</w:t>
            </w:r>
          </w:p>
        </w:tc>
        <w:tc>
          <w:tcPr>
            <w:tcW w:w="6020" w:type="dxa"/>
            <w:tcBorders/>
            <w:vAlign w:val="center"/>
          </w:tcPr>
          <w:p>
            <w:pPr>
              <w:pStyle w:val="TableContents"/>
              <w:bidi w:val="0"/>
              <w:spacing w:before="0" w:after="283"/>
              <w:jc w:val="left"/>
              <w:rPr/>
            </w:pPr>
            <w:r>
              <w:rPr/>
              <w:t>Refinancing Facilities</w:t>
            </w:r>
          </w:p>
        </w:tc>
        <w:tc>
          <w:tcPr>
            <w:tcW w:w="500" w:type="dxa"/>
            <w:tcBorders/>
            <w:vAlign w:val="center"/>
          </w:tcPr>
          <w:p>
            <w:pPr>
              <w:pStyle w:val="TableContents"/>
              <w:bidi w:val="0"/>
              <w:spacing w:before="0" w:after="283"/>
              <w:jc w:val="right"/>
              <w:rPr/>
            </w:pPr>
            <w:r>
              <w:rPr/>
              <w:t>48</w:t>
            </w:r>
          </w:p>
        </w:tc>
      </w:tr>
      <w:tr>
        <w:trPr/>
        <w:tc>
          <w:tcPr>
            <w:tcW w:w="1610" w:type="dxa"/>
            <w:tcBorders/>
            <w:vAlign w:val="center"/>
          </w:tcPr>
          <w:p>
            <w:pPr>
              <w:pStyle w:val="TableContents"/>
              <w:bidi w:val="0"/>
              <w:spacing w:before="0" w:after="283"/>
              <w:jc w:val="left"/>
              <w:rPr>
                <w:b/>
              </w:rPr>
            </w:pPr>
            <w:r>
              <w:rPr>
                <w:b/>
              </w:rPr>
              <w:t>SECTION 2.08</w:t>
            </w:r>
          </w:p>
        </w:tc>
        <w:tc>
          <w:tcPr>
            <w:tcW w:w="6020" w:type="dxa"/>
            <w:tcBorders/>
            <w:vAlign w:val="center"/>
          </w:tcPr>
          <w:p>
            <w:pPr>
              <w:pStyle w:val="TableContents"/>
              <w:bidi w:val="0"/>
              <w:spacing w:before="0" w:after="283"/>
              <w:jc w:val="left"/>
              <w:rPr/>
            </w:pPr>
            <w:r>
              <w:rPr/>
              <w:t>Incremental Commitments</w:t>
            </w:r>
          </w:p>
        </w:tc>
        <w:tc>
          <w:tcPr>
            <w:tcW w:w="500" w:type="dxa"/>
            <w:tcBorders/>
            <w:vAlign w:val="center"/>
          </w:tcPr>
          <w:p>
            <w:pPr>
              <w:pStyle w:val="TableContents"/>
              <w:bidi w:val="0"/>
              <w:spacing w:before="0" w:after="283"/>
              <w:jc w:val="right"/>
              <w:rPr/>
            </w:pPr>
            <w:r>
              <w:rPr/>
              <w:t>49</w:t>
            </w:r>
          </w:p>
        </w:tc>
      </w:tr>
      <w:tr>
        <w:trPr/>
        <w:tc>
          <w:tcPr>
            <w:tcW w:w="1610" w:type="dxa"/>
            <w:tcBorders/>
            <w:vAlign w:val="center"/>
          </w:tcPr>
          <w:p>
            <w:pPr>
              <w:pStyle w:val="TableContents"/>
              <w:bidi w:val="0"/>
              <w:spacing w:before="0" w:after="283"/>
              <w:jc w:val="left"/>
              <w:rPr>
                <w:b/>
              </w:rPr>
            </w:pPr>
            <w:r>
              <w:rPr>
                <w:b/>
              </w:rPr>
              <w:t>SECTION 2.09</w:t>
            </w:r>
          </w:p>
        </w:tc>
        <w:tc>
          <w:tcPr>
            <w:tcW w:w="6020" w:type="dxa"/>
            <w:tcBorders/>
            <w:vAlign w:val="center"/>
          </w:tcPr>
          <w:p>
            <w:pPr>
              <w:pStyle w:val="TableContents"/>
              <w:bidi w:val="0"/>
              <w:spacing w:before="0" w:after="283"/>
              <w:jc w:val="left"/>
              <w:rPr/>
            </w:pPr>
            <w:r>
              <w:rPr/>
              <w:t>Termination and Reduction of the Commitments</w:t>
            </w:r>
          </w:p>
        </w:tc>
        <w:tc>
          <w:tcPr>
            <w:tcW w:w="500" w:type="dxa"/>
            <w:tcBorders/>
            <w:vAlign w:val="center"/>
          </w:tcPr>
          <w:p>
            <w:pPr>
              <w:pStyle w:val="TableContents"/>
              <w:bidi w:val="0"/>
              <w:spacing w:before="0" w:after="283"/>
              <w:jc w:val="right"/>
              <w:rPr/>
            </w:pPr>
            <w:r>
              <w:rPr/>
              <w:t>51</w:t>
            </w:r>
          </w:p>
        </w:tc>
      </w:tr>
      <w:tr>
        <w:trPr/>
        <w:tc>
          <w:tcPr>
            <w:tcW w:w="1610" w:type="dxa"/>
            <w:tcBorders/>
            <w:vAlign w:val="center"/>
          </w:tcPr>
          <w:p>
            <w:pPr>
              <w:pStyle w:val="TableContents"/>
              <w:bidi w:val="0"/>
              <w:spacing w:before="0" w:after="283"/>
              <w:jc w:val="left"/>
              <w:rPr>
                <w:b/>
              </w:rPr>
            </w:pPr>
            <w:r>
              <w:rPr>
                <w:b/>
              </w:rPr>
              <w:t>SECTION 2.10</w:t>
            </w:r>
          </w:p>
        </w:tc>
        <w:tc>
          <w:tcPr>
            <w:tcW w:w="6020" w:type="dxa"/>
            <w:tcBorders/>
            <w:vAlign w:val="center"/>
          </w:tcPr>
          <w:p>
            <w:pPr>
              <w:pStyle w:val="TableContents"/>
              <w:bidi w:val="0"/>
              <w:spacing w:before="0" w:after="283"/>
              <w:jc w:val="left"/>
              <w:rPr/>
            </w:pPr>
            <w:r>
              <w:rPr/>
              <w:t>Repayment of Loans; Evidence of Debt</w:t>
            </w:r>
          </w:p>
        </w:tc>
        <w:tc>
          <w:tcPr>
            <w:tcW w:w="500" w:type="dxa"/>
            <w:tcBorders/>
            <w:vAlign w:val="center"/>
          </w:tcPr>
          <w:p>
            <w:pPr>
              <w:pStyle w:val="TableContents"/>
              <w:bidi w:val="0"/>
              <w:spacing w:before="0" w:after="283"/>
              <w:jc w:val="right"/>
              <w:rPr/>
            </w:pPr>
            <w:r>
              <w:rPr/>
              <w:t>52</w:t>
            </w:r>
          </w:p>
        </w:tc>
      </w:tr>
      <w:tr>
        <w:trPr/>
        <w:tc>
          <w:tcPr>
            <w:tcW w:w="1610" w:type="dxa"/>
            <w:tcBorders/>
            <w:vAlign w:val="center"/>
          </w:tcPr>
          <w:p>
            <w:pPr>
              <w:pStyle w:val="TableContents"/>
              <w:bidi w:val="0"/>
              <w:spacing w:before="0" w:after="283"/>
              <w:jc w:val="left"/>
              <w:rPr>
                <w:b/>
              </w:rPr>
            </w:pPr>
            <w:r>
              <w:rPr>
                <w:b/>
              </w:rPr>
              <w:t>SECTION 2.11</w:t>
            </w:r>
          </w:p>
        </w:tc>
        <w:tc>
          <w:tcPr>
            <w:tcW w:w="6020" w:type="dxa"/>
            <w:tcBorders/>
            <w:vAlign w:val="center"/>
          </w:tcPr>
          <w:p>
            <w:pPr>
              <w:pStyle w:val="TableContents"/>
              <w:bidi w:val="0"/>
              <w:spacing w:before="0" w:after="283"/>
              <w:jc w:val="left"/>
              <w:rPr/>
            </w:pPr>
            <w:r>
              <w:rPr/>
              <w:t>Prepayment of Loans</w:t>
            </w:r>
          </w:p>
        </w:tc>
        <w:tc>
          <w:tcPr>
            <w:tcW w:w="500" w:type="dxa"/>
            <w:tcBorders/>
            <w:vAlign w:val="center"/>
          </w:tcPr>
          <w:p>
            <w:pPr>
              <w:pStyle w:val="TableContents"/>
              <w:bidi w:val="0"/>
              <w:spacing w:before="0" w:after="283"/>
              <w:jc w:val="right"/>
              <w:rPr/>
            </w:pPr>
            <w:r>
              <w:rPr/>
              <w:t>53</w:t>
            </w:r>
          </w:p>
        </w:tc>
      </w:tr>
      <w:tr>
        <w:trPr/>
        <w:tc>
          <w:tcPr>
            <w:tcW w:w="1610" w:type="dxa"/>
            <w:tcBorders/>
            <w:vAlign w:val="center"/>
          </w:tcPr>
          <w:p>
            <w:pPr>
              <w:pStyle w:val="TableContents"/>
              <w:bidi w:val="0"/>
              <w:spacing w:before="0" w:after="283"/>
              <w:jc w:val="left"/>
              <w:rPr>
                <w:b/>
              </w:rPr>
            </w:pPr>
            <w:r>
              <w:rPr>
                <w:b/>
              </w:rPr>
              <w:t>SECTION 2.12</w:t>
            </w:r>
          </w:p>
        </w:tc>
        <w:tc>
          <w:tcPr>
            <w:tcW w:w="6020" w:type="dxa"/>
            <w:tcBorders/>
            <w:vAlign w:val="center"/>
          </w:tcPr>
          <w:p>
            <w:pPr>
              <w:pStyle w:val="TableContents"/>
              <w:bidi w:val="0"/>
              <w:spacing w:before="0" w:after="283"/>
              <w:jc w:val="left"/>
              <w:rPr/>
            </w:pPr>
            <w:r>
              <w:rPr/>
              <w:t>Fees</w:t>
            </w:r>
          </w:p>
        </w:tc>
        <w:tc>
          <w:tcPr>
            <w:tcW w:w="500" w:type="dxa"/>
            <w:tcBorders/>
            <w:vAlign w:val="center"/>
          </w:tcPr>
          <w:p>
            <w:pPr>
              <w:pStyle w:val="TableContents"/>
              <w:bidi w:val="0"/>
              <w:spacing w:before="0" w:after="283"/>
              <w:jc w:val="right"/>
              <w:rPr/>
            </w:pPr>
            <w:r>
              <w:rPr/>
              <w:t>54</w:t>
            </w:r>
          </w:p>
        </w:tc>
      </w:tr>
      <w:tr>
        <w:trPr/>
        <w:tc>
          <w:tcPr>
            <w:tcW w:w="1610" w:type="dxa"/>
            <w:tcBorders/>
            <w:vAlign w:val="center"/>
          </w:tcPr>
          <w:p>
            <w:pPr>
              <w:pStyle w:val="TableContents"/>
              <w:bidi w:val="0"/>
              <w:spacing w:before="0" w:after="283"/>
              <w:jc w:val="left"/>
              <w:rPr>
                <w:b/>
              </w:rPr>
            </w:pPr>
            <w:r>
              <w:rPr>
                <w:b/>
              </w:rPr>
              <w:t>SECTION 2.13</w:t>
            </w:r>
          </w:p>
        </w:tc>
        <w:tc>
          <w:tcPr>
            <w:tcW w:w="6020" w:type="dxa"/>
            <w:tcBorders/>
            <w:vAlign w:val="center"/>
          </w:tcPr>
          <w:p>
            <w:pPr>
              <w:pStyle w:val="TableContents"/>
              <w:bidi w:val="0"/>
              <w:spacing w:before="0" w:after="283"/>
              <w:jc w:val="left"/>
              <w:rPr/>
            </w:pPr>
            <w:r>
              <w:rPr/>
              <w:t>Interest</w:t>
            </w:r>
          </w:p>
        </w:tc>
        <w:tc>
          <w:tcPr>
            <w:tcW w:w="500" w:type="dxa"/>
            <w:tcBorders/>
            <w:vAlign w:val="center"/>
          </w:tcPr>
          <w:p>
            <w:pPr>
              <w:pStyle w:val="TableContents"/>
              <w:bidi w:val="0"/>
              <w:spacing w:before="0" w:after="283"/>
              <w:jc w:val="right"/>
              <w:rPr/>
            </w:pPr>
            <w:r>
              <w:rPr/>
              <w:t>55</w:t>
            </w:r>
          </w:p>
        </w:tc>
      </w:tr>
      <w:tr>
        <w:trPr/>
        <w:tc>
          <w:tcPr>
            <w:tcW w:w="1610" w:type="dxa"/>
            <w:tcBorders/>
            <w:vAlign w:val="center"/>
          </w:tcPr>
          <w:p>
            <w:pPr>
              <w:pStyle w:val="TableContents"/>
              <w:bidi w:val="0"/>
              <w:spacing w:before="0" w:after="283"/>
              <w:jc w:val="left"/>
              <w:rPr>
                <w:b/>
              </w:rPr>
            </w:pPr>
            <w:r>
              <w:rPr>
                <w:b/>
              </w:rPr>
              <w:t>SECTION 2.14</w:t>
            </w:r>
          </w:p>
        </w:tc>
        <w:tc>
          <w:tcPr>
            <w:tcW w:w="6020" w:type="dxa"/>
            <w:tcBorders/>
            <w:vAlign w:val="center"/>
          </w:tcPr>
          <w:p>
            <w:pPr>
              <w:pStyle w:val="TableContents"/>
              <w:bidi w:val="0"/>
              <w:spacing w:before="0" w:after="283"/>
              <w:jc w:val="left"/>
              <w:rPr/>
            </w:pPr>
            <w:r>
              <w:rPr/>
              <w:t>Inability to Determine Interest Rate</w:t>
            </w:r>
          </w:p>
        </w:tc>
        <w:tc>
          <w:tcPr>
            <w:tcW w:w="500" w:type="dxa"/>
            <w:tcBorders/>
            <w:vAlign w:val="center"/>
          </w:tcPr>
          <w:p>
            <w:pPr>
              <w:pStyle w:val="TableContents"/>
              <w:bidi w:val="0"/>
              <w:spacing w:before="0" w:after="283"/>
              <w:jc w:val="right"/>
              <w:rPr/>
            </w:pPr>
            <w:r>
              <w:rPr/>
              <w:t>55</w:t>
            </w:r>
          </w:p>
        </w:tc>
      </w:tr>
      <w:tr>
        <w:trPr/>
        <w:tc>
          <w:tcPr>
            <w:tcW w:w="1610" w:type="dxa"/>
            <w:tcBorders/>
            <w:vAlign w:val="center"/>
          </w:tcPr>
          <w:p>
            <w:pPr>
              <w:pStyle w:val="TableContents"/>
              <w:bidi w:val="0"/>
              <w:spacing w:before="0" w:after="283"/>
              <w:jc w:val="left"/>
              <w:rPr>
                <w:b/>
              </w:rPr>
            </w:pPr>
            <w:r>
              <w:rPr>
                <w:b/>
              </w:rPr>
              <w:t>SECTION 2.15</w:t>
            </w:r>
          </w:p>
        </w:tc>
        <w:tc>
          <w:tcPr>
            <w:tcW w:w="6020" w:type="dxa"/>
            <w:tcBorders/>
            <w:vAlign w:val="center"/>
          </w:tcPr>
          <w:p>
            <w:pPr>
              <w:pStyle w:val="TableContents"/>
              <w:bidi w:val="0"/>
              <w:spacing w:before="0" w:after="283"/>
              <w:jc w:val="left"/>
              <w:rPr/>
            </w:pPr>
            <w:r>
              <w:rPr/>
              <w:t>Increased Costs</w:t>
            </w:r>
          </w:p>
        </w:tc>
        <w:tc>
          <w:tcPr>
            <w:tcW w:w="500" w:type="dxa"/>
            <w:tcBorders/>
            <w:vAlign w:val="center"/>
          </w:tcPr>
          <w:p>
            <w:pPr>
              <w:pStyle w:val="TableContents"/>
              <w:bidi w:val="0"/>
              <w:spacing w:before="0" w:after="283"/>
              <w:jc w:val="right"/>
              <w:rPr/>
            </w:pPr>
            <w:r>
              <w:rPr/>
              <w:t>58</w:t>
            </w:r>
          </w:p>
        </w:tc>
      </w:tr>
      <w:tr>
        <w:trPr/>
        <w:tc>
          <w:tcPr>
            <w:tcW w:w="1610" w:type="dxa"/>
            <w:tcBorders/>
            <w:vAlign w:val="center"/>
          </w:tcPr>
          <w:p>
            <w:pPr>
              <w:pStyle w:val="TableContents"/>
              <w:bidi w:val="0"/>
              <w:spacing w:before="0" w:after="283"/>
              <w:jc w:val="left"/>
              <w:rPr>
                <w:b/>
              </w:rPr>
            </w:pPr>
            <w:r>
              <w:rPr>
                <w:b/>
              </w:rPr>
              <w:t>SECTION 2.16</w:t>
            </w:r>
          </w:p>
        </w:tc>
        <w:tc>
          <w:tcPr>
            <w:tcW w:w="6020" w:type="dxa"/>
            <w:tcBorders/>
            <w:vAlign w:val="center"/>
          </w:tcPr>
          <w:p>
            <w:pPr>
              <w:pStyle w:val="TableContents"/>
              <w:bidi w:val="0"/>
              <w:spacing w:before="0" w:after="283"/>
              <w:jc w:val="left"/>
              <w:rPr/>
            </w:pPr>
            <w:r>
              <w:rPr/>
              <w:t>Break Funding Payments</w:t>
            </w:r>
          </w:p>
        </w:tc>
        <w:tc>
          <w:tcPr>
            <w:tcW w:w="500" w:type="dxa"/>
            <w:tcBorders/>
            <w:vAlign w:val="center"/>
          </w:tcPr>
          <w:p>
            <w:pPr>
              <w:pStyle w:val="TableContents"/>
              <w:bidi w:val="0"/>
              <w:spacing w:before="0" w:after="283"/>
              <w:jc w:val="right"/>
              <w:rPr/>
            </w:pPr>
            <w:r>
              <w:rPr/>
              <w:t>59</w:t>
            </w:r>
          </w:p>
        </w:tc>
      </w:tr>
      <w:tr>
        <w:trPr/>
        <w:tc>
          <w:tcPr>
            <w:tcW w:w="1610" w:type="dxa"/>
            <w:tcBorders/>
            <w:vAlign w:val="center"/>
          </w:tcPr>
          <w:p>
            <w:pPr>
              <w:pStyle w:val="TableContents"/>
              <w:bidi w:val="0"/>
              <w:spacing w:before="0" w:after="283"/>
              <w:jc w:val="left"/>
              <w:rPr>
                <w:b/>
              </w:rPr>
            </w:pPr>
            <w:r>
              <w:rPr>
                <w:b/>
              </w:rPr>
              <w:t>SECTION 2.17</w:t>
            </w:r>
          </w:p>
        </w:tc>
        <w:tc>
          <w:tcPr>
            <w:tcW w:w="6020" w:type="dxa"/>
            <w:tcBorders/>
            <w:vAlign w:val="center"/>
          </w:tcPr>
          <w:p>
            <w:pPr>
              <w:pStyle w:val="TableContents"/>
              <w:bidi w:val="0"/>
              <w:spacing w:before="0" w:after="283"/>
              <w:jc w:val="left"/>
              <w:rPr/>
            </w:pPr>
            <w:r>
              <w:rPr/>
              <w:t>Taxes</w:t>
            </w:r>
          </w:p>
        </w:tc>
        <w:tc>
          <w:tcPr>
            <w:tcW w:w="500" w:type="dxa"/>
            <w:tcBorders/>
            <w:vAlign w:val="center"/>
          </w:tcPr>
          <w:p>
            <w:pPr>
              <w:pStyle w:val="TableContents"/>
              <w:bidi w:val="0"/>
              <w:spacing w:before="0" w:after="283"/>
              <w:jc w:val="right"/>
              <w:rPr/>
            </w:pPr>
            <w:r>
              <w:rPr/>
              <w:t>60</w:t>
            </w:r>
          </w:p>
        </w:tc>
      </w:tr>
      <w:tr>
        <w:trPr/>
        <w:tc>
          <w:tcPr>
            <w:tcW w:w="1610" w:type="dxa"/>
            <w:tcBorders/>
            <w:vAlign w:val="center"/>
          </w:tcPr>
          <w:p>
            <w:pPr>
              <w:pStyle w:val="TableContents"/>
              <w:bidi w:val="0"/>
              <w:spacing w:before="0" w:after="283"/>
              <w:jc w:val="left"/>
              <w:rPr>
                <w:b/>
              </w:rPr>
            </w:pPr>
            <w:r>
              <w:rPr>
                <w:b/>
              </w:rPr>
              <w:t>SECTION 2.18</w:t>
            </w:r>
          </w:p>
        </w:tc>
        <w:tc>
          <w:tcPr>
            <w:tcW w:w="6020" w:type="dxa"/>
            <w:tcBorders/>
            <w:vAlign w:val="center"/>
          </w:tcPr>
          <w:p>
            <w:pPr>
              <w:pStyle w:val="TableContents"/>
              <w:bidi w:val="0"/>
              <w:spacing w:before="0" w:after="283"/>
              <w:jc w:val="left"/>
              <w:rPr/>
            </w:pPr>
            <w:r>
              <w:rPr/>
              <w:t>Payments Generally; Pro rata Treatment; Sharing of Setoffs</w:t>
            </w:r>
          </w:p>
        </w:tc>
        <w:tc>
          <w:tcPr>
            <w:tcW w:w="500" w:type="dxa"/>
            <w:tcBorders/>
            <w:vAlign w:val="center"/>
          </w:tcPr>
          <w:p>
            <w:pPr>
              <w:pStyle w:val="TableContents"/>
              <w:bidi w:val="0"/>
              <w:spacing w:before="0" w:after="283"/>
              <w:jc w:val="right"/>
              <w:rPr/>
            </w:pPr>
            <w:r>
              <w:rPr/>
              <w:t>62</w:t>
            </w:r>
          </w:p>
        </w:tc>
      </w:tr>
      <w:tr>
        <w:trPr/>
        <w:tc>
          <w:tcPr>
            <w:tcW w:w="1610" w:type="dxa"/>
            <w:tcBorders/>
            <w:vAlign w:val="center"/>
          </w:tcPr>
          <w:p>
            <w:pPr>
              <w:pStyle w:val="TableContents"/>
              <w:bidi w:val="0"/>
              <w:spacing w:before="0" w:after="283"/>
              <w:jc w:val="left"/>
              <w:rPr>
                <w:b/>
              </w:rPr>
            </w:pPr>
            <w:r>
              <w:rPr>
                <w:b/>
              </w:rPr>
              <w:t>SECTION 2.19</w:t>
            </w:r>
          </w:p>
        </w:tc>
        <w:tc>
          <w:tcPr>
            <w:tcW w:w="6020" w:type="dxa"/>
            <w:tcBorders/>
            <w:vAlign w:val="center"/>
          </w:tcPr>
          <w:p>
            <w:pPr>
              <w:pStyle w:val="TableContents"/>
              <w:bidi w:val="0"/>
              <w:spacing w:before="0" w:after="283"/>
              <w:jc w:val="left"/>
              <w:rPr/>
            </w:pPr>
            <w:r>
              <w:rPr/>
              <w:t>Mitigation Obligations; Replacement of Lenders</w:t>
            </w:r>
          </w:p>
        </w:tc>
        <w:tc>
          <w:tcPr>
            <w:tcW w:w="500" w:type="dxa"/>
            <w:tcBorders/>
            <w:vAlign w:val="center"/>
          </w:tcPr>
          <w:p>
            <w:pPr>
              <w:pStyle w:val="TableContents"/>
              <w:bidi w:val="0"/>
              <w:spacing w:before="0" w:after="283"/>
              <w:jc w:val="right"/>
              <w:rPr/>
            </w:pPr>
            <w:r>
              <w:rPr/>
              <w:t>64</w:t>
            </w:r>
          </w:p>
        </w:tc>
      </w:tr>
      <w:tr>
        <w:trPr/>
        <w:tc>
          <w:tcPr>
            <w:tcW w:w="1610" w:type="dxa"/>
            <w:tcBorders/>
            <w:vAlign w:val="center"/>
          </w:tcPr>
          <w:p>
            <w:pPr>
              <w:pStyle w:val="TableContents"/>
              <w:bidi w:val="0"/>
              <w:spacing w:before="0" w:after="283"/>
              <w:jc w:val="left"/>
              <w:rPr>
                <w:b/>
              </w:rPr>
            </w:pPr>
            <w:r>
              <w:rPr>
                <w:b/>
              </w:rPr>
              <w:t>SECTION 2.20</w:t>
            </w:r>
          </w:p>
        </w:tc>
        <w:tc>
          <w:tcPr>
            <w:tcW w:w="6020" w:type="dxa"/>
            <w:tcBorders/>
            <w:vAlign w:val="center"/>
          </w:tcPr>
          <w:p>
            <w:pPr>
              <w:pStyle w:val="TableContents"/>
              <w:bidi w:val="0"/>
              <w:spacing w:before="0" w:after="283"/>
              <w:jc w:val="left"/>
              <w:rPr/>
            </w:pPr>
            <w:r>
              <w:rPr/>
              <w:t>Defaulting Lenders</w:t>
            </w:r>
          </w:p>
        </w:tc>
        <w:tc>
          <w:tcPr>
            <w:tcW w:w="500" w:type="dxa"/>
            <w:tcBorders/>
            <w:vAlign w:val="center"/>
          </w:tcPr>
          <w:p>
            <w:pPr>
              <w:pStyle w:val="TableContents"/>
              <w:bidi w:val="0"/>
              <w:spacing w:before="0" w:after="283"/>
              <w:jc w:val="right"/>
              <w:rPr/>
            </w:pPr>
            <w:r>
              <w:rPr/>
              <w:t>65</w:t>
            </w:r>
          </w:p>
        </w:tc>
      </w:tr>
      <w:tr>
        <w:trPr/>
        <w:tc>
          <w:tcPr>
            <w:tcW w:w="1610" w:type="dxa"/>
            <w:tcBorders/>
            <w:vAlign w:val="center"/>
          </w:tcPr>
          <w:p>
            <w:pPr>
              <w:pStyle w:val="TableContents"/>
              <w:bidi w:val="0"/>
              <w:spacing w:before="0" w:after="283"/>
              <w:jc w:val="left"/>
              <w:rPr>
                <w:b/>
              </w:rPr>
            </w:pPr>
            <w:r>
              <w:rPr>
                <w:b/>
              </w:rPr>
              <w:t>SECTION 2.21</w:t>
            </w:r>
          </w:p>
        </w:tc>
        <w:tc>
          <w:tcPr>
            <w:tcW w:w="6020" w:type="dxa"/>
            <w:tcBorders/>
            <w:vAlign w:val="center"/>
          </w:tcPr>
          <w:p>
            <w:pPr>
              <w:pStyle w:val="TableContents"/>
              <w:bidi w:val="0"/>
              <w:spacing w:before="0" w:after="283"/>
              <w:jc w:val="left"/>
              <w:rPr/>
            </w:pPr>
            <w:r>
              <w:rPr/>
              <w:t>Extensions of Commitments and Loans</w:t>
            </w:r>
          </w:p>
        </w:tc>
        <w:tc>
          <w:tcPr>
            <w:tcW w:w="500" w:type="dxa"/>
            <w:tcBorders/>
            <w:vAlign w:val="center"/>
          </w:tcPr>
          <w:p>
            <w:pPr>
              <w:pStyle w:val="TableContents"/>
              <w:bidi w:val="0"/>
              <w:spacing w:before="0" w:after="283"/>
              <w:jc w:val="right"/>
              <w:rPr/>
            </w:pPr>
            <w:r>
              <w:rPr/>
              <w:t>66</w:t>
            </w:r>
          </w:p>
        </w:tc>
      </w:tr>
      <w:tr>
        <w:trPr/>
        <w:tc>
          <w:tcPr>
            <w:tcW w:w="1610" w:type="dxa"/>
            <w:tcBorders/>
            <w:vAlign w:val="center"/>
          </w:tcPr>
          <w:p>
            <w:pPr>
              <w:pStyle w:val="TableContents"/>
              <w:bidi w:val="0"/>
              <w:spacing w:before="0" w:after="283"/>
              <w:jc w:val="left"/>
              <w:rPr>
                <w:b/>
              </w:rPr>
            </w:pPr>
            <w:r>
              <w:rPr>
                <w:b/>
              </w:rPr>
              <w:t>SECTION 2.22</w:t>
            </w:r>
          </w:p>
        </w:tc>
        <w:tc>
          <w:tcPr>
            <w:tcW w:w="6020" w:type="dxa"/>
            <w:tcBorders/>
            <w:vAlign w:val="center"/>
          </w:tcPr>
          <w:p>
            <w:pPr>
              <w:pStyle w:val="TableContents"/>
              <w:bidi w:val="0"/>
              <w:spacing w:before="0" w:after="283"/>
              <w:jc w:val="left"/>
              <w:rPr/>
            </w:pPr>
            <w:r>
              <w:rPr/>
              <w:t>Illegality</w:t>
            </w:r>
          </w:p>
        </w:tc>
        <w:tc>
          <w:tcPr>
            <w:tcW w:w="500" w:type="dxa"/>
            <w:tcBorders/>
            <w:vAlign w:val="center"/>
          </w:tcPr>
          <w:p>
            <w:pPr>
              <w:pStyle w:val="TableContents"/>
              <w:bidi w:val="0"/>
              <w:spacing w:before="0" w:after="283"/>
              <w:jc w:val="right"/>
              <w:rPr/>
            </w:pPr>
            <w:r>
              <w:rPr/>
              <w:t>68</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8130" w:type="dxa"/>
            <w:gridSpan w:val="3"/>
            <w:tcBorders/>
            <w:vAlign w:val="center"/>
          </w:tcPr>
          <w:p>
            <w:pPr>
              <w:pStyle w:val="TableContents"/>
              <w:bidi w:val="0"/>
              <w:spacing w:before="0" w:after="283"/>
              <w:jc w:val="center"/>
              <w:rPr/>
            </w:pPr>
            <w:r>
              <w:rPr/>
              <w:t>ARTICLE III.</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8130" w:type="dxa"/>
            <w:gridSpan w:val="3"/>
            <w:tcBorders/>
            <w:vAlign w:val="center"/>
          </w:tcPr>
          <w:p>
            <w:pPr>
              <w:pStyle w:val="TableContents"/>
              <w:bidi w:val="0"/>
              <w:spacing w:before="0" w:after="283"/>
              <w:jc w:val="center"/>
              <w:rPr/>
            </w:pPr>
            <w:r>
              <w:rPr/>
              <w:t>[RESERVED]</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8130" w:type="dxa"/>
            <w:gridSpan w:val="3"/>
            <w:tcBorders/>
            <w:vAlign w:val="center"/>
          </w:tcPr>
          <w:p>
            <w:pPr>
              <w:pStyle w:val="TableContents"/>
              <w:bidi w:val="0"/>
              <w:spacing w:before="0" w:after="283"/>
              <w:jc w:val="center"/>
              <w:rPr/>
            </w:pPr>
            <w:r>
              <w:rPr/>
              <w:t>ARTICLE IV.</w:t>
              <w:br/>
              <w:t>REPRESENTATIONS AND WARRANTIES</w:t>
            </w:r>
          </w:p>
        </w:tc>
      </w:tr>
      <w:tr>
        <w:trPr/>
        <w:tc>
          <w:tcPr>
            <w:tcW w:w="161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1610" w:type="dxa"/>
            <w:tcBorders/>
            <w:vAlign w:val="center"/>
          </w:tcPr>
          <w:p>
            <w:pPr>
              <w:pStyle w:val="TableContents"/>
              <w:bidi w:val="0"/>
              <w:spacing w:before="0" w:after="283"/>
              <w:jc w:val="left"/>
              <w:rPr>
                <w:b/>
              </w:rPr>
            </w:pPr>
            <w:r>
              <w:rPr>
                <w:b/>
              </w:rPr>
              <w:t>SECTION 4.01</w:t>
            </w:r>
          </w:p>
        </w:tc>
        <w:tc>
          <w:tcPr>
            <w:tcW w:w="6020" w:type="dxa"/>
            <w:tcBorders/>
            <w:vAlign w:val="center"/>
          </w:tcPr>
          <w:p>
            <w:pPr>
              <w:pStyle w:val="TableContents"/>
              <w:bidi w:val="0"/>
              <w:spacing w:before="0" w:after="283"/>
              <w:jc w:val="left"/>
              <w:rPr/>
            </w:pPr>
            <w:r>
              <w:rPr/>
              <w:t>Organization; Powers</w:t>
            </w:r>
          </w:p>
        </w:tc>
        <w:tc>
          <w:tcPr>
            <w:tcW w:w="500"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b/>
              </w:rPr>
            </w:pPr>
            <w:r>
              <w:rPr>
                <w:b/>
              </w:rPr>
              <w:t>SECTION 4.02</w:t>
            </w:r>
          </w:p>
        </w:tc>
        <w:tc>
          <w:tcPr>
            <w:tcW w:w="6020" w:type="dxa"/>
            <w:tcBorders/>
            <w:vAlign w:val="center"/>
          </w:tcPr>
          <w:p>
            <w:pPr>
              <w:pStyle w:val="TableContents"/>
              <w:bidi w:val="0"/>
              <w:spacing w:before="0" w:after="283"/>
              <w:jc w:val="left"/>
              <w:rPr/>
            </w:pPr>
            <w:r>
              <w:rPr/>
              <w:t>Authorization; Enforceability</w:t>
            </w:r>
          </w:p>
        </w:tc>
        <w:tc>
          <w:tcPr>
            <w:tcW w:w="500"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b/>
              </w:rPr>
            </w:pPr>
            <w:r>
              <w:rPr>
                <w:b/>
              </w:rPr>
              <w:t>SECTION 4.03</w:t>
            </w:r>
          </w:p>
        </w:tc>
        <w:tc>
          <w:tcPr>
            <w:tcW w:w="6020" w:type="dxa"/>
            <w:tcBorders/>
            <w:vAlign w:val="center"/>
          </w:tcPr>
          <w:p>
            <w:pPr>
              <w:pStyle w:val="TableContents"/>
              <w:bidi w:val="0"/>
              <w:spacing w:before="0" w:after="283"/>
              <w:jc w:val="left"/>
              <w:rPr/>
            </w:pPr>
            <w:r>
              <w:rPr/>
              <w:t>Governmental Approvals; No Conflicts</w:t>
            </w:r>
          </w:p>
        </w:tc>
        <w:tc>
          <w:tcPr>
            <w:tcW w:w="500"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b/>
              </w:rPr>
            </w:pPr>
            <w:r>
              <w:rPr>
                <w:b/>
              </w:rPr>
              <w:t>SECTION 4.04</w:t>
            </w:r>
          </w:p>
        </w:tc>
        <w:tc>
          <w:tcPr>
            <w:tcW w:w="6020" w:type="dxa"/>
            <w:tcBorders/>
            <w:vAlign w:val="center"/>
          </w:tcPr>
          <w:p>
            <w:pPr>
              <w:pStyle w:val="TableContents"/>
              <w:bidi w:val="0"/>
              <w:spacing w:before="0" w:after="283"/>
              <w:jc w:val="left"/>
              <w:rPr/>
            </w:pPr>
            <w:r>
              <w:rPr/>
              <w:t>Financial Condition; No Material Adverse Change</w:t>
            </w:r>
          </w:p>
        </w:tc>
        <w:tc>
          <w:tcPr>
            <w:tcW w:w="500"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b/>
              </w:rPr>
            </w:pPr>
            <w:r>
              <w:rPr>
                <w:b/>
              </w:rPr>
              <w:t>SECTION 4.05</w:t>
            </w:r>
          </w:p>
        </w:tc>
        <w:tc>
          <w:tcPr>
            <w:tcW w:w="6020" w:type="dxa"/>
            <w:tcBorders/>
            <w:vAlign w:val="center"/>
          </w:tcPr>
          <w:p>
            <w:pPr>
              <w:pStyle w:val="TableContents"/>
              <w:bidi w:val="0"/>
              <w:spacing w:before="0" w:after="283"/>
              <w:jc w:val="left"/>
              <w:rPr/>
            </w:pPr>
            <w:r>
              <w:rPr/>
              <w:t>Properties</w:t>
            </w:r>
          </w:p>
        </w:tc>
        <w:tc>
          <w:tcPr>
            <w:tcW w:w="500"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b/>
              </w:rPr>
            </w:pPr>
            <w:r>
              <w:rPr>
                <w:b/>
              </w:rPr>
              <w:t>SECTION 4.06</w:t>
            </w:r>
          </w:p>
        </w:tc>
        <w:tc>
          <w:tcPr>
            <w:tcW w:w="6020" w:type="dxa"/>
            <w:tcBorders/>
            <w:vAlign w:val="center"/>
          </w:tcPr>
          <w:p>
            <w:pPr>
              <w:pStyle w:val="TableContents"/>
              <w:bidi w:val="0"/>
              <w:spacing w:before="0" w:after="283"/>
              <w:jc w:val="left"/>
              <w:rPr/>
            </w:pPr>
            <w:r>
              <w:rPr/>
              <w:t>Litigation and Environmental Matters</w:t>
            </w:r>
          </w:p>
        </w:tc>
        <w:tc>
          <w:tcPr>
            <w:tcW w:w="500" w:type="dxa"/>
            <w:tcBorders/>
            <w:vAlign w:val="center"/>
          </w:tcPr>
          <w:p>
            <w:pPr>
              <w:pStyle w:val="TableContents"/>
              <w:bidi w:val="0"/>
              <w:spacing w:before="0" w:after="283"/>
              <w:jc w:val="right"/>
              <w:rPr/>
            </w:pPr>
            <w:r>
              <w:rPr/>
              <w:t>70</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7050" w:type="dxa"/>
        <w:jc w:val="left"/>
        <w:tblInd w:w="0" w:type="dxa"/>
        <w:tblLayout w:type="fixed"/>
        <w:tblCellMar>
          <w:top w:w="0" w:type="dxa"/>
          <w:left w:w="0" w:type="dxa"/>
          <w:bottom w:w="0" w:type="dxa"/>
          <w:right w:w="0" w:type="dxa"/>
        </w:tblCellMar>
      </w:tblPr>
      <w:tblGrid>
        <w:gridCol w:w="1610"/>
        <w:gridCol w:w="4940"/>
        <w:gridCol w:w="500"/>
      </w:tblGrid>
      <w:tr>
        <w:trPr/>
        <w:tc>
          <w:tcPr>
            <w:tcW w:w="161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161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610" w:type="dxa"/>
            <w:tcBorders/>
            <w:vAlign w:val="center"/>
          </w:tcPr>
          <w:p>
            <w:pPr>
              <w:pStyle w:val="TableContents"/>
              <w:bidi w:val="0"/>
              <w:spacing w:before="0" w:after="283"/>
              <w:ind w:left="0" w:right="0" w:hanging="0"/>
              <w:jc w:val="left"/>
              <w:rPr>
                <w:b/>
              </w:rPr>
            </w:pPr>
            <w:r>
              <w:rPr>
                <w:b/>
              </w:rPr>
              <w:t>SECTION 4.07</w:t>
            </w:r>
          </w:p>
        </w:tc>
        <w:tc>
          <w:tcPr>
            <w:tcW w:w="4940" w:type="dxa"/>
            <w:tcBorders/>
            <w:vAlign w:val="center"/>
          </w:tcPr>
          <w:p>
            <w:pPr>
              <w:pStyle w:val="TableContents"/>
              <w:bidi w:val="0"/>
              <w:spacing w:before="0" w:after="283"/>
              <w:ind w:left="0" w:right="0" w:hanging="0"/>
              <w:jc w:val="left"/>
              <w:rPr/>
            </w:pPr>
            <w:r>
              <w:rPr/>
              <w:t>Compliance with Laws and Contractual Obligations</w:t>
            </w:r>
          </w:p>
        </w:tc>
        <w:tc>
          <w:tcPr>
            <w:tcW w:w="500" w:type="dxa"/>
            <w:tcBorders/>
            <w:vAlign w:val="center"/>
          </w:tcPr>
          <w:p>
            <w:pPr>
              <w:pStyle w:val="TableContents"/>
              <w:bidi w:val="0"/>
              <w:spacing w:before="0" w:after="283"/>
              <w:ind w:left="0" w:right="0" w:hanging="0"/>
              <w:jc w:val="right"/>
              <w:rPr/>
            </w:pPr>
            <w:r>
              <w:rPr/>
              <w:t>70</w:t>
            </w:r>
          </w:p>
        </w:tc>
      </w:tr>
      <w:tr>
        <w:trPr/>
        <w:tc>
          <w:tcPr>
            <w:tcW w:w="1610" w:type="dxa"/>
            <w:tcBorders/>
            <w:vAlign w:val="center"/>
          </w:tcPr>
          <w:p>
            <w:pPr>
              <w:pStyle w:val="TableContents"/>
              <w:bidi w:val="0"/>
              <w:spacing w:before="0" w:after="283"/>
              <w:ind w:left="0" w:right="0" w:hanging="0"/>
              <w:jc w:val="left"/>
              <w:rPr>
                <w:b/>
              </w:rPr>
            </w:pPr>
            <w:r>
              <w:rPr>
                <w:b/>
              </w:rPr>
              <w:t>SECTION 4.08</w:t>
            </w:r>
          </w:p>
        </w:tc>
        <w:tc>
          <w:tcPr>
            <w:tcW w:w="4940" w:type="dxa"/>
            <w:tcBorders/>
            <w:vAlign w:val="center"/>
          </w:tcPr>
          <w:p>
            <w:pPr>
              <w:pStyle w:val="TableContents"/>
              <w:bidi w:val="0"/>
              <w:spacing w:before="0" w:after="283"/>
              <w:ind w:left="0" w:right="0" w:hanging="0"/>
              <w:jc w:val="left"/>
              <w:rPr/>
            </w:pPr>
            <w:r>
              <w:rPr/>
              <w:t>Investment Company Status</w:t>
            </w:r>
          </w:p>
        </w:tc>
        <w:tc>
          <w:tcPr>
            <w:tcW w:w="500" w:type="dxa"/>
            <w:tcBorders/>
            <w:vAlign w:val="center"/>
          </w:tcPr>
          <w:p>
            <w:pPr>
              <w:pStyle w:val="TableContents"/>
              <w:bidi w:val="0"/>
              <w:spacing w:before="0" w:after="283"/>
              <w:ind w:left="0" w:right="0" w:hanging="0"/>
              <w:jc w:val="right"/>
              <w:rPr/>
            </w:pPr>
            <w:r>
              <w:rPr/>
              <w:t>70</w:t>
            </w:r>
          </w:p>
        </w:tc>
      </w:tr>
      <w:tr>
        <w:trPr/>
        <w:tc>
          <w:tcPr>
            <w:tcW w:w="1610" w:type="dxa"/>
            <w:tcBorders/>
            <w:vAlign w:val="center"/>
          </w:tcPr>
          <w:p>
            <w:pPr>
              <w:pStyle w:val="TableContents"/>
              <w:bidi w:val="0"/>
              <w:spacing w:before="0" w:after="283"/>
              <w:ind w:left="0" w:right="0" w:hanging="0"/>
              <w:jc w:val="left"/>
              <w:rPr>
                <w:b/>
              </w:rPr>
            </w:pPr>
            <w:r>
              <w:rPr>
                <w:b/>
              </w:rPr>
              <w:t>SECTION 4.09</w:t>
            </w:r>
          </w:p>
        </w:tc>
        <w:tc>
          <w:tcPr>
            <w:tcW w:w="4940" w:type="dxa"/>
            <w:tcBorders/>
            <w:vAlign w:val="center"/>
          </w:tcPr>
          <w:p>
            <w:pPr>
              <w:pStyle w:val="TableContents"/>
              <w:bidi w:val="0"/>
              <w:spacing w:before="0" w:after="283"/>
              <w:ind w:left="0" w:right="0" w:hanging="0"/>
              <w:jc w:val="left"/>
              <w:rPr/>
            </w:pPr>
            <w:r>
              <w:rPr/>
              <w:t>Taxes</w:t>
            </w:r>
          </w:p>
        </w:tc>
        <w:tc>
          <w:tcPr>
            <w:tcW w:w="500" w:type="dxa"/>
            <w:tcBorders/>
            <w:vAlign w:val="center"/>
          </w:tcPr>
          <w:p>
            <w:pPr>
              <w:pStyle w:val="TableContents"/>
              <w:bidi w:val="0"/>
              <w:spacing w:before="0" w:after="283"/>
              <w:ind w:left="0" w:right="0" w:hanging="0"/>
              <w:jc w:val="right"/>
              <w:rPr/>
            </w:pPr>
            <w:r>
              <w:rPr/>
              <w:t>70</w:t>
            </w:r>
          </w:p>
        </w:tc>
      </w:tr>
      <w:tr>
        <w:trPr/>
        <w:tc>
          <w:tcPr>
            <w:tcW w:w="1610" w:type="dxa"/>
            <w:tcBorders/>
            <w:vAlign w:val="center"/>
          </w:tcPr>
          <w:p>
            <w:pPr>
              <w:pStyle w:val="TableContents"/>
              <w:bidi w:val="0"/>
              <w:spacing w:before="0" w:after="283"/>
              <w:ind w:left="0" w:right="0" w:hanging="0"/>
              <w:jc w:val="left"/>
              <w:rPr>
                <w:b/>
              </w:rPr>
            </w:pPr>
            <w:r>
              <w:rPr>
                <w:b/>
              </w:rPr>
              <w:t>SECTION 4.10</w:t>
            </w:r>
          </w:p>
        </w:tc>
        <w:tc>
          <w:tcPr>
            <w:tcW w:w="4940" w:type="dxa"/>
            <w:tcBorders/>
            <w:vAlign w:val="center"/>
          </w:tcPr>
          <w:p>
            <w:pPr>
              <w:pStyle w:val="TableContents"/>
              <w:bidi w:val="0"/>
              <w:spacing w:before="0" w:after="283"/>
              <w:ind w:left="0" w:right="0" w:hanging="0"/>
              <w:jc w:val="left"/>
              <w:rPr/>
            </w:pPr>
            <w:r>
              <w:rPr/>
              <w:t>ERISA; Employee Benefit Plans</w:t>
            </w:r>
          </w:p>
        </w:tc>
        <w:tc>
          <w:tcPr>
            <w:tcW w:w="500" w:type="dxa"/>
            <w:tcBorders/>
            <w:vAlign w:val="center"/>
          </w:tcPr>
          <w:p>
            <w:pPr>
              <w:pStyle w:val="TableContents"/>
              <w:bidi w:val="0"/>
              <w:spacing w:before="0" w:after="283"/>
              <w:ind w:left="0" w:right="0" w:hanging="0"/>
              <w:jc w:val="right"/>
              <w:rPr/>
            </w:pPr>
            <w:r>
              <w:rPr/>
              <w:t>70</w:t>
            </w:r>
          </w:p>
        </w:tc>
      </w:tr>
      <w:tr>
        <w:trPr/>
        <w:tc>
          <w:tcPr>
            <w:tcW w:w="1610" w:type="dxa"/>
            <w:tcBorders/>
            <w:vAlign w:val="center"/>
          </w:tcPr>
          <w:p>
            <w:pPr>
              <w:pStyle w:val="TableContents"/>
              <w:bidi w:val="0"/>
              <w:spacing w:before="0" w:after="283"/>
              <w:ind w:left="0" w:right="0" w:hanging="0"/>
              <w:jc w:val="left"/>
              <w:rPr>
                <w:b/>
              </w:rPr>
            </w:pPr>
            <w:r>
              <w:rPr>
                <w:b/>
              </w:rPr>
              <w:t>SECTION 4.11</w:t>
            </w:r>
          </w:p>
        </w:tc>
        <w:tc>
          <w:tcPr>
            <w:tcW w:w="4940" w:type="dxa"/>
            <w:tcBorders/>
            <w:vAlign w:val="center"/>
          </w:tcPr>
          <w:p>
            <w:pPr>
              <w:pStyle w:val="TableContents"/>
              <w:bidi w:val="0"/>
              <w:spacing w:before="0" w:after="283"/>
              <w:ind w:left="0" w:right="0" w:hanging="0"/>
              <w:jc w:val="left"/>
              <w:rPr/>
            </w:pPr>
            <w:r>
              <w:rPr/>
              <w:t>Disclosure</w:t>
            </w:r>
          </w:p>
        </w:tc>
        <w:tc>
          <w:tcPr>
            <w:tcW w:w="500" w:type="dxa"/>
            <w:tcBorders/>
            <w:vAlign w:val="center"/>
          </w:tcPr>
          <w:p>
            <w:pPr>
              <w:pStyle w:val="TableContents"/>
              <w:bidi w:val="0"/>
              <w:spacing w:before="0" w:after="283"/>
              <w:ind w:left="0" w:right="0" w:hanging="0"/>
              <w:jc w:val="right"/>
              <w:rPr/>
            </w:pPr>
            <w:r>
              <w:rPr/>
              <w:t>70</w:t>
            </w:r>
          </w:p>
        </w:tc>
      </w:tr>
      <w:tr>
        <w:trPr/>
        <w:tc>
          <w:tcPr>
            <w:tcW w:w="1610" w:type="dxa"/>
            <w:tcBorders/>
            <w:vAlign w:val="center"/>
          </w:tcPr>
          <w:p>
            <w:pPr>
              <w:pStyle w:val="TableContents"/>
              <w:bidi w:val="0"/>
              <w:spacing w:before="0" w:after="283"/>
              <w:ind w:left="0" w:right="0" w:hanging="0"/>
              <w:jc w:val="left"/>
              <w:rPr>
                <w:b/>
              </w:rPr>
            </w:pPr>
            <w:r>
              <w:rPr>
                <w:b/>
              </w:rPr>
              <w:t>SECTION 4.12</w:t>
            </w:r>
          </w:p>
        </w:tc>
        <w:tc>
          <w:tcPr>
            <w:tcW w:w="4940" w:type="dxa"/>
            <w:tcBorders/>
            <w:vAlign w:val="center"/>
          </w:tcPr>
          <w:p>
            <w:pPr>
              <w:pStyle w:val="TableContents"/>
              <w:bidi w:val="0"/>
              <w:spacing w:before="0" w:after="283"/>
              <w:ind w:left="0" w:right="0" w:hanging="0"/>
              <w:jc w:val="left"/>
              <w:rPr/>
            </w:pPr>
            <w:r>
              <w:rPr/>
              <w:t>Use of Credit</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4.13</w:t>
            </w:r>
          </w:p>
        </w:tc>
        <w:tc>
          <w:tcPr>
            <w:tcW w:w="4940" w:type="dxa"/>
            <w:tcBorders/>
            <w:vAlign w:val="center"/>
          </w:tcPr>
          <w:p>
            <w:pPr>
              <w:pStyle w:val="TableContents"/>
              <w:bidi w:val="0"/>
              <w:spacing w:before="0" w:after="283"/>
              <w:ind w:left="0" w:right="0" w:hanging="0"/>
              <w:jc w:val="left"/>
              <w:rPr/>
            </w:pPr>
            <w:r>
              <w:rPr/>
              <w:t>Burdensome Agreements</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4.14</w:t>
            </w:r>
          </w:p>
        </w:tc>
        <w:tc>
          <w:tcPr>
            <w:tcW w:w="4940" w:type="dxa"/>
            <w:tcBorders/>
            <w:vAlign w:val="center"/>
          </w:tcPr>
          <w:p>
            <w:pPr>
              <w:pStyle w:val="TableContents"/>
              <w:bidi w:val="0"/>
              <w:spacing w:before="0" w:after="283"/>
              <w:ind w:left="0" w:right="0" w:hanging="0"/>
              <w:jc w:val="left"/>
              <w:rPr/>
            </w:pPr>
            <w:r>
              <w:rPr/>
              <w:t>Labor Matters</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4.15</w:t>
            </w:r>
          </w:p>
        </w:tc>
        <w:tc>
          <w:tcPr>
            <w:tcW w:w="4940" w:type="dxa"/>
            <w:tcBorders/>
            <w:vAlign w:val="center"/>
          </w:tcPr>
          <w:p>
            <w:pPr>
              <w:pStyle w:val="TableContents"/>
              <w:bidi w:val="0"/>
              <w:spacing w:before="0" w:after="283"/>
              <w:ind w:left="0" w:right="0" w:hanging="0"/>
              <w:jc w:val="left"/>
              <w:rPr/>
            </w:pPr>
            <w:r>
              <w:rPr/>
              <w:t>Security Documents</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4.16</w:t>
            </w:r>
          </w:p>
        </w:tc>
        <w:tc>
          <w:tcPr>
            <w:tcW w:w="4940" w:type="dxa"/>
            <w:tcBorders/>
            <w:vAlign w:val="center"/>
          </w:tcPr>
          <w:p>
            <w:pPr>
              <w:pStyle w:val="TableContents"/>
              <w:bidi w:val="0"/>
              <w:spacing w:before="0" w:after="283"/>
              <w:ind w:left="0" w:right="0" w:hanging="0"/>
              <w:jc w:val="left"/>
              <w:rPr/>
            </w:pPr>
            <w:r>
              <w:rPr/>
              <w:t>Subsidiaries</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4.17</w:t>
            </w:r>
          </w:p>
        </w:tc>
        <w:tc>
          <w:tcPr>
            <w:tcW w:w="4940" w:type="dxa"/>
            <w:tcBorders/>
            <w:vAlign w:val="center"/>
          </w:tcPr>
          <w:p>
            <w:pPr>
              <w:pStyle w:val="TableContents"/>
              <w:bidi w:val="0"/>
              <w:spacing w:before="0" w:after="283"/>
              <w:ind w:left="0" w:right="0" w:hanging="0"/>
              <w:jc w:val="left"/>
              <w:rPr/>
            </w:pPr>
            <w:r>
              <w:rPr/>
              <w:t>Solvency</w:t>
            </w:r>
          </w:p>
        </w:tc>
        <w:tc>
          <w:tcPr>
            <w:tcW w:w="500" w:type="dxa"/>
            <w:tcBorders/>
            <w:vAlign w:val="center"/>
          </w:tcPr>
          <w:p>
            <w:pPr>
              <w:pStyle w:val="TableContents"/>
              <w:bidi w:val="0"/>
              <w:spacing w:before="0" w:after="283"/>
              <w:ind w:left="0" w:right="0" w:hanging="0"/>
              <w:jc w:val="right"/>
              <w:rPr/>
            </w:pPr>
            <w:r>
              <w:rPr/>
              <w:t>71</w:t>
            </w:r>
          </w:p>
        </w:tc>
      </w:tr>
      <w:tr>
        <w:trPr/>
        <w:tc>
          <w:tcPr>
            <w:tcW w:w="1610" w:type="dxa"/>
            <w:tcBorders/>
            <w:vAlign w:val="center"/>
          </w:tcPr>
          <w:p>
            <w:pPr>
              <w:pStyle w:val="TableContents"/>
              <w:bidi w:val="0"/>
              <w:spacing w:before="0" w:after="283"/>
              <w:ind w:left="0" w:right="0" w:hanging="0"/>
              <w:jc w:val="left"/>
              <w:rPr>
                <w:b/>
              </w:rPr>
            </w:pPr>
            <w:r>
              <w:rPr>
                <w:b/>
              </w:rPr>
              <w:t>SECTION 4.18</w:t>
            </w:r>
          </w:p>
        </w:tc>
        <w:tc>
          <w:tcPr>
            <w:tcW w:w="4940" w:type="dxa"/>
            <w:tcBorders/>
            <w:vAlign w:val="center"/>
          </w:tcPr>
          <w:p>
            <w:pPr>
              <w:pStyle w:val="TableContents"/>
              <w:bidi w:val="0"/>
              <w:spacing w:before="0" w:after="283"/>
              <w:ind w:left="0" w:right="0" w:hanging="0"/>
              <w:jc w:val="left"/>
              <w:rPr/>
            </w:pPr>
            <w:r>
              <w:rPr/>
              <w:t>Senior Notes Indenture</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b/>
              </w:rPr>
            </w:pPr>
            <w:r>
              <w:rPr>
                <w:b/>
              </w:rPr>
              <w:t>SECTION 4.19</w:t>
            </w:r>
          </w:p>
        </w:tc>
        <w:tc>
          <w:tcPr>
            <w:tcW w:w="4940" w:type="dxa"/>
            <w:tcBorders/>
            <w:vAlign w:val="center"/>
          </w:tcPr>
          <w:p>
            <w:pPr>
              <w:pStyle w:val="TableContents"/>
              <w:bidi w:val="0"/>
              <w:spacing w:before="0" w:after="283"/>
              <w:ind w:left="0" w:right="0" w:hanging="0"/>
              <w:jc w:val="left"/>
              <w:rPr/>
            </w:pPr>
            <w:r>
              <w:rPr/>
              <w:t>Anti-Corruption Laws and Sanctions; Patriot Act</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b/>
              </w:rPr>
            </w:pPr>
            <w:r>
              <w:rPr>
                <w:b/>
              </w:rPr>
              <w:t>SECTION 4.20</w:t>
            </w:r>
          </w:p>
        </w:tc>
        <w:tc>
          <w:tcPr>
            <w:tcW w:w="4940" w:type="dxa"/>
            <w:tcBorders/>
            <w:vAlign w:val="center"/>
          </w:tcPr>
          <w:p>
            <w:pPr>
              <w:pStyle w:val="TableContents"/>
              <w:bidi w:val="0"/>
              <w:spacing w:before="0" w:after="283"/>
              <w:ind w:left="0" w:right="0" w:hanging="0"/>
              <w:jc w:val="left"/>
              <w:rPr/>
            </w:pPr>
            <w:r>
              <w:rPr/>
              <w:t>Affected Financial Institutions</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b/>
              </w:rPr>
            </w:pPr>
            <w:r>
              <w:rPr>
                <w:b/>
              </w:rPr>
              <w:t>SECTION 4.21</w:t>
            </w:r>
          </w:p>
        </w:tc>
        <w:tc>
          <w:tcPr>
            <w:tcW w:w="4940" w:type="dxa"/>
            <w:tcBorders/>
            <w:vAlign w:val="center"/>
          </w:tcPr>
          <w:p>
            <w:pPr>
              <w:pStyle w:val="TableContents"/>
              <w:bidi w:val="0"/>
              <w:spacing w:before="0" w:after="283"/>
              <w:ind w:left="0" w:right="0" w:hanging="0"/>
              <w:jc w:val="left"/>
              <w:rPr/>
            </w:pPr>
            <w:r>
              <w:rPr/>
              <w:t>Beneficial Ownership Certificate</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b/>
              </w:rPr>
            </w:pPr>
            <w:r>
              <w:rPr>
                <w:b/>
              </w:rPr>
              <w:t>SECTION 4.22</w:t>
            </w:r>
          </w:p>
        </w:tc>
        <w:tc>
          <w:tcPr>
            <w:tcW w:w="4940" w:type="dxa"/>
            <w:tcBorders/>
            <w:vAlign w:val="center"/>
          </w:tcPr>
          <w:p>
            <w:pPr>
              <w:pStyle w:val="TableContents"/>
              <w:bidi w:val="0"/>
              <w:spacing w:before="0" w:after="283"/>
              <w:ind w:left="0" w:right="0" w:hanging="0"/>
              <w:jc w:val="left"/>
              <w:rPr/>
            </w:pPr>
            <w:r>
              <w:rPr/>
              <w:t>Status as Senior Debt</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pPr>
            <w:r>
              <w:rPr/>
              <w:t> </w:t>
            </w:r>
          </w:p>
        </w:tc>
        <w:tc>
          <w:tcPr>
            <w:tcW w:w="494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7050" w:type="dxa"/>
            <w:gridSpan w:val="3"/>
            <w:tcBorders/>
            <w:vAlign w:val="center"/>
          </w:tcPr>
          <w:p>
            <w:pPr>
              <w:pStyle w:val="TableContents"/>
              <w:bidi w:val="0"/>
              <w:spacing w:before="0" w:after="283"/>
              <w:ind w:left="0" w:right="0" w:hanging="0"/>
              <w:jc w:val="center"/>
              <w:rPr/>
            </w:pPr>
            <w:r>
              <w:rPr/>
              <w:t>ARTICLE V.</w:t>
              <w:br/>
              <w:t>CONDITIONS</w:t>
            </w:r>
          </w:p>
        </w:tc>
      </w:tr>
      <w:tr>
        <w:trPr/>
        <w:tc>
          <w:tcPr>
            <w:tcW w:w="1610" w:type="dxa"/>
            <w:tcBorders/>
            <w:vAlign w:val="center"/>
          </w:tcPr>
          <w:p>
            <w:pPr>
              <w:pStyle w:val="TableContents"/>
              <w:bidi w:val="0"/>
              <w:spacing w:before="0" w:after="283"/>
              <w:ind w:left="0" w:right="0" w:hanging="0"/>
              <w:jc w:val="left"/>
              <w:rPr/>
            </w:pPr>
            <w:r>
              <w:rPr/>
              <w:t> </w:t>
            </w:r>
          </w:p>
        </w:tc>
        <w:tc>
          <w:tcPr>
            <w:tcW w:w="494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610" w:type="dxa"/>
            <w:tcBorders/>
            <w:vAlign w:val="center"/>
          </w:tcPr>
          <w:p>
            <w:pPr>
              <w:pStyle w:val="TableContents"/>
              <w:bidi w:val="0"/>
              <w:spacing w:before="0" w:after="283"/>
              <w:ind w:left="0" w:right="0" w:hanging="0"/>
              <w:jc w:val="left"/>
              <w:rPr>
                <w:b/>
              </w:rPr>
            </w:pPr>
            <w:r>
              <w:rPr>
                <w:b/>
              </w:rPr>
              <w:t>SECTION 5.01</w:t>
            </w:r>
          </w:p>
        </w:tc>
        <w:tc>
          <w:tcPr>
            <w:tcW w:w="4940" w:type="dxa"/>
            <w:tcBorders/>
            <w:vAlign w:val="center"/>
          </w:tcPr>
          <w:p>
            <w:pPr>
              <w:pStyle w:val="TableContents"/>
              <w:bidi w:val="0"/>
              <w:spacing w:before="0" w:after="283"/>
              <w:ind w:left="0" w:right="0" w:hanging="0"/>
              <w:jc w:val="left"/>
              <w:rPr/>
            </w:pPr>
            <w:r>
              <w:rPr/>
              <w:t>[Reserved]</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b/>
              </w:rPr>
            </w:pPr>
            <w:r>
              <w:rPr>
                <w:b/>
              </w:rPr>
              <w:t>SECTION 5.02</w:t>
            </w:r>
          </w:p>
        </w:tc>
        <w:tc>
          <w:tcPr>
            <w:tcW w:w="4940" w:type="dxa"/>
            <w:tcBorders/>
            <w:vAlign w:val="center"/>
          </w:tcPr>
          <w:p>
            <w:pPr>
              <w:pStyle w:val="TableContents"/>
              <w:bidi w:val="0"/>
              <w:spacing w:before="0" w:after="283"/>
              <w:ind w:left="0" w:right="0" w:hanging="0"/>
              <w:jc w:val="left"/>
              <w:rPr/>
            </w:pPr>
            <w:r>
              <w:rPr/>
              <w:t>Each Credit Event</w:t>
            </w:r>
          </w:p>
        </w:tc>
        <w:tc>
          <w:tcPr>
            <w:tcW w:w="500" w:type="dxa"/>
            <w:tcBorders/>
            <w:vAlign w:val="center"/>
          </w:tcPr>
          <w:p>
            <w:pPr>
              <w:pStyle w:val="TableContents"/>
              <w:bidi w:val="0"/>
              <w:spacing w:before="0" w:after="283"/>
              <w:ind w:left="0" w:right="0" w:hanging="0"/>
              <w:jc w:val="right"/>
              <w:rPr/>
            </w:pPr>
            <w:r>
              <w:rPr/>
              <w:t>72</w:t>
            </w:r>
          </w:p>
        </w:tc>
      </w:tr>
      <w:tr>
        <w:trPr/>
        <w:tc>
          <w:tcPr>
            <w:tcW w:w="1610" w:type="dxa"/>
            <w:tcBorders/>
            <w:vAlign w:val="center"/>
          </w:tcPr>
          <w:p>
            <w:pPr>
              <w:pStyle w:val="TableContents"/>
              <w:bidi w:val="0"/>
              <w:spacing w:before="0" w:after="283"/>
              <w:ind w:left="0" w:right="0" w:hanging="0"/>
              <w:jc w:val="left"/>
              <w:rPr/>
            </w:pPr>
            <w:r>
              <w:rPr/>
              <w:t> </w:t>
            </w:r>
          </w:p>
        </w:tc>
        <w:tc>
          <w:tcPr>
            <w:tcW w:w="494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7050" w:type="dxa"/>
            <w:gridSpan w:val="3"/>
            <w:tcBorders/>
            <w:vAlign w:val="center"/>
          </w:tcPr>
          <w:p>
            <w:pPr>
              <w:pStyle w:val="TableContents"/>
              <w:bidi w:val="0"/>
              <w:spacing w:before="0" w:after="283"/>
              <w:ind w:left="0" w:right="0" w:hanging="0"/>
              <w:jc w:val="center"/>
              <w:rPr/>
            </w:pPr>
            <w:r>
              <w:rPr/>
              <w:t>ARTICLE VI.</w:t>
              <w:br/>
              <w:t>AFFIRMATIVE COVENANTS</w:t>
            </w:r>
          </w:p>
        </w:tc>
      </w:tr>
      <w:tr>
        <w:trPr/>
        <w:tc>
          <w:tcPr>
            <w:tcW w:w="7050" w:type="dxa"/>
            <w:gridSpan w:val="3"/>
            <w:tcBorders/>
            <w:vAlign w:val="center"/>
          </w:tcPr>
          <w:p>
            <w:pPr>
              <w:pStyle w:val="TableContents"/>
              <w:bidi w:val="0"/>
              <w:spacing w:before="0" w:after="283"/>
              <w:ind w:left="0" w:right="0" w:hanging="0"/>
              <w:jc w:val="left"/>
              <w:rPr/>
            </w:pPr>
            <w:r>
              <w:rPr/>
              <w:t> </w:t>
            </w:r>
          </w:p>
        </w:tc>
      </w:tr>
      <w:tr>
        <w:trPr/>
        <w:tc>
          <w:tcPr>
            <w:tcW w:w="1610" w:type="dxa"/>
            <w:tcBorders/>
            <w:vAlign w:val="center"/>
          </w:tcPr>
          <w:p>
            <w:pPr>
              <w:pStyle w:val="TableContents"/>
              <w:bidi w:val="0"/>
              <w:spacing w:before="0" w:after="283"/>
              <w:ind w:left="0" w:right="0" w:hanging="0"/>
              <w:jc w:val="left"/>
              <w:rPr>
                <w:b/>
              </w:rPr>
            </w:pPr>
            <w:r>
              <w:rPr>
                <w:b/>
              </w:rPr>
              <w:t>SECTION 6.01</w:t>
            </w:r>
          </w:p>
        </w:tc>
        <w:tc>
          <w:tcPr>
            <w:tcW w:w="4940" w:type="dxa"/>
            <w:tcBorders/>
            <w:vAlign w:val="center"/>
          </w:tcPr>
          <w:p>
            <w:pPr>
              <w:pStyle w:val="TableContents"/>
              <w:bidi w:val="0"/>
              <w:spacing w:before="0" w:after="283"/>
              <w:ind w:left="0" w:right="0" w:hanging="0"/>
              <w:jc w:val="left"/>
              <w:rPr/>
            </w:pPr>
            <w:r>
              <w:rPr/>
              <w:t>Financial Statements and Other Information</w:t>
            </w:r>
          </w:p>
        </w:tc>
        <w:tc>
          <w:tcPr>
            <w:tcW w:w="500" w:type="dxa"/>
            <w:tcBorders/>
            <w:vAlign w:val="center"/>
          </w:tcPr>
          <w:p>
            <w:pPr>
              <w:pStyle w:val="TableContents"/>
              <w:bidi w:val="0"/>
              <w:spacing w:before="0" w:after="283"/>
              <w:ind w:left="0" w:right="0" w:hanging="0"/>
              <w:jc w:val="right"/>
              <w:rPr/>
            </w:pPr>
            <w:r>
              <w:rPr/>
              <w:t>73</w:t>
            </w:r>
          </w:p>
        </w:tc>
      </w:tr>
      <w:tr>
        <w:trPr/>
        <w:tc>
          <w:tcPr>
            <w:tcW w:w="1610" w:type="dxa"/>
            <w:tcBorders/>
            <w:vAlign w:val="center"/>
          </w:tcPr>
          <w:p>
            <w:pPr>
              <w:pStyle w:val="TableContents"/>
              <w:bidi w:val="0"/>
              <w:spacing w:before="0" w:after="283"/>
              <w:ind w:left="0" w:right="0" w:hanging="0"/>
              <w:jc w:val="left"/>
              <w:rPr>
                <w:b/>
              </w:rPr>
            </w:pPr>
            <w:r>
              <w:rPr>
                <w:b/>
              </w:rPr>
              <w:t>SECTION 6.02</w:t>
            </w:r>
          </w:p>
        </w:tc>
        <w:tc>
          <w:tcPr>
            <w:tcW w:w="4940" w:type="dxa"/>
            <w:tcBorders/>
            <w:vAlign w:val="center"/>
          </w:tcPr>
          <w:p>
            <w:pPr>
              <w:pStyle w:val="TableContents"/>
              <w:bidi w:val="0"/>
              <w:spacing w:before="0" w:after="283"/>
              <w:ind w:left="0" w:right="0" w:hanging="0"/>
              <w:jc w:val="left"/>
              <w:rPr/>
            </w:pPr>
            <w:r>
              <w:rPr/>
              <w:t>Notices of Material Events</w:t>
            </w:r>
          </w:p>
        </w:tc>
        <w:tc>
          <w:tcPr>
            <w:tcW w:w="500" w:type="dxa"/>
            <w:tcBorders/>
            <w:vAlign w:val="center"/>
          </w:tcPr>
          <w:p>
            <w:pPr>
              <w:pStyle w:val="TableContents"/>
              <w:bidi w:val="0"/>
              <w:spacing w:before="0" w:after="283"/>
              <w:ind w:left="0" w:right="0" w:hanging="0"/>
              <w:jc w:val="right"/>
              <w:rPr/>
            </w:pPr>
            <w:r>
              <w:rPr/>
              <w:t>75</w:t>
            </w:r>
          </w:p>
        </w:tc>
      </w:tr>
      <w:tr>
        <w:trPr/>
        <w:tc>
          <w:tcPr>
            <w:tcW w:w="1610" w:type="dxa"/>
            <w:tcBorders/>
            <w:vAlign w:val="center"/>
          </w:tcPr>
          <w:p>
            <w:pPr>
              <w:pStyle w:val="TableContents"/>
              <w:bidi w:val="0"/>
              <w:spacing w:before="0" w:after="283"/>
              <w:ind w:left="0" w:right="0" w:hanging="0"/>
              <w:jc w:val="left"/>
              <w:rPr>
                <w:b/>
              </w:rPr>
            </w:pPr>
            <w:r>
              <w:rPr>
                <w:b/>
              </w:rPr>
              <w:t>SECTION 6.03</w:t>
            </w:r>
          </w:p>
        </w:tc>
        <w:tc>
          <w:tcPr>
            <w:tcW w:w="4940" w:type="dxa"/>
            <w:tcBorders/>
            <w:vAlign w:val="center"/>
          </w:tcPr>
          <w:p>
            <w:pPr>
              <w:pStyle w:val="TableContents"/>
              <w:bidi w:val="0"/>
              <w:spacing w:before="0" w:after="283"/>
              <w:ind w:left="0" w:right="0" w:hanging="0"/>
              <w:jc w:val="left"/>
              <w:rPr/>
            </w:pPr>
            <w:r>
              <w:rPr/>
              <w:t>Existence; Conduct of Business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6.04</w:t>
            </w:r>
          </w:p>
        </w:tc>
        <w:tc>
          <w:tcPr>
            <w:tcW w:w="4940" w:type="dxa"/>
            <w:tcBorders/>
            <w:vAlign w:val="center"/>
          </w:tcPr>
          <w:p>
            <w:pPr>
              <w:pStyle w:val="TableContents"/>
              <w:bidi w:val="0"/>
              <w:spacing w:before="0" w:after="283"/>
              <w:ind w:left="0" w:right="0" w:hanging="0"/>
              <w:jc w:val="left"/>
              <w:rPr/>
            </w:pPr>
            <w:r>
              <w:rPr/>
              <w:t>Payment of Obligations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6.05</w:t>
            </w:r>
          </w:p>
        </w:tc>
        <w:tc>
          <w:tcPr>
            <w:tcW w:w="4940" w:type="dxa"/>
            <w:tcBorders/>
            <w:vAlign w:val="center"/>
          </w:tcPr>
          <w:p>
            <w:pPr>
              <w:pStyle w:val="TableContents"/>
              <w:bidi w:val="0"/>
              <w:spacing w:before="0" w:after="283"/>
              <w:ind w:left="0" w:right="0" w:hanging="0"/>
              <w:jc w:val="left"/>
              <w:rPr/>
            </w:pPr>
            <w:r>
              <w:rPr/>
              <w:t>Maintenance of Properties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6.06</w:t>
            </w:r>
          </w:p>
        </w:tc>
        <w:tc>
          <w:tcPr>
            <w:tcW w:w="4940" w:type="dxa"/>
            <w:tcBorders/>
            <w:vAlign w:val="center"/>
          </w:tcPr>
          <w:p>
            <w:pPr>
              <w:pStyle w:val="TableContents"/>
              <w:bidi w:val="0"/>
              <w:spacing w:before="0" w:after="283"/>
              <w:ind w:left="0" w:right="0" w:hanging="0"/>
              <w:jc w:val="left"/>
              <w:rPr/>
            </w:pPr>
            <w:r>
              <w:rPr/>
              <w:t>Maintenance of Insurance</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6.07</w:t>
            </w:r>
          </w:p>
        </w:tc>
        <w:tc>
          <w:tcPr>
            <w:tcW w:w="4940" w:type="dxa"/>
            <w:tcBorders/>
            <w:vAlign w:val="center"/>
          </w:tcPr>
          <w:p>
            <w:pPr>
              <w:pStyle w:val="TableContents"/>
              <w:bidi w:val="0"/>
              <w:spacing w:before="0" w:after="283"/>
              <w:ind w:left="0" w:right="0" w:hanging="0"/>
              <w:jc w:val="left"/>
              <w:rPr/>
            </w:pPr>
            <w:r>
              <w:rPr/>
              <w:t>Books and Records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6.08</w:t>
            </w:r>
          </w:p>
        </w:tc>
        <w:tc>
          <w:tcPr>
            <w:tcW w:w="4940" w:type="dxa"/>
            <w:tcBorders/>
            <w:vAlign w:val="center"/>
          </w:tcPr>
          <w:p>
            <w:pPr>
              <w:pStyle w:val="TableContents"/>
              <w:bidi w:val="0"/>
              <w:spacing w:before="0" w:after="283"/>
              <w:ind w:left="0" w:right="0" w:hanging="0"/>
              <w:jc w:val="left"/>
              <w:rPr/>
            </w:pPr>
            <w:r>
              <w:rPr/>
              <w:t>Inspection Rights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6.09</w:t>
            </w:r>
          </w:p>
        </w:tc>
        <w:tc>
          <w:tcPr>
            <w:tcW w:w="4940" w:type="dxa"/>
            <w:tcBorders/>
            <w:vAlign w:val="center"/>
          </w:tcPr>
          <w:p>
            <w:pPr>
              <w:pStyle w:val="TableContents"/>
              <w:bidi w:val="0"/>
              <w:spacing w:before="0" w:after="283"/>
              <w:ind w:left="0" w:right="0" w:hanging="0"/>
              <w:jc w:val="left"/>
              <w:rPr/>
            </w:pPr>
            <w:r>
              <w:rPr/>
              <w:t>Compliance with Laws and Contractual Obligations</w:t>
            </w:r>
          </w:p>
        </w:tc>
        <w:tc>
          <w:tcPr>
            <w:tcW w:w="500" w:type="dxa"/>
            <w:tcBorders/>
            <w:vAlign w:val="center"/>
          </w:tcPr>
          <w:p>
            <w:pPr>
              <w:pStyle w:val="TableContents"/>
              <w:bidi w:val="0"/>
              <w:spacing w:before="0" w:after="283"/>
              <w:ind w:left="0" w:right="0" w:hanging="0"/>
              <w:jc w:val="right"/>
              <w:rPr/>
            </w:pPr>
            <w:r>
              <w:rPr/>
              <w:t>76</w:t>
            </w:r>
          </w:p>
        </w:tc>
      </w:tr>
      <w:tr>
        <w:trPr/>
        <w:tc>
          <w:tcPr>
            <w:tcW w:w="1610" w:type="dxa"/>
            <w:tcBorders/>
            <w:vAlign w:val="center"/>
          </w:tcPr>
          <w:p>
            <w:pPr>
              <w:pStyle w:val="TableContents"/>
              <w:bidi w:val="0"/>
              <w:spacing w:before="0" w:after="283"/>
              <w:ind w:left="0" w:right="0" w:hanging="0"/>
              <w:jc w:val="left"/>
              <w:rPr>
                <w:b/>
              </w:rPr>
            </w:pPr>
            <w:r>
              <w:rPr>
                <w:b/>
              </w:rPr>
              <w:t>SECTION 6.10</w:t>
            </w:r>
          </w:p>
        </w:tc>
        <w:tc>
          <w:tcPr>
            <w:tcW w:w="4940" w:type="dxa"/>
            <w:tcBorders/>
            <w:vAlign w:val="center"/>
          </w:tcPr>
          <w:p>
            <w:pPr>
              <w:pStyle w:val="TableContents"/>
              <w:bidi w:val="0"/>
              <w:spacing w:before="0" w:after="283"/>
              <w:ind w:left="0" w:right="0" w:hanging="0"/>
              <w:jc w:val="left"/>
              <w:rPr/>
            </w:pPr>
            <w:r>
              <w:rPr/>
              <w:t>Use of Proceeds and Letters of Credit</w:t>
            </w:r>
          </w:p>
        </w:tc>
        <w:tc>
          <w:tcPr>
            <w:tcW w:w="500" w:type="dxa"/>
            <w:tcBorders/>
            <w:vAlign w:val="center"/>
          </w:tcPr>
          <w:p>
            <w:pPr>
              <w:pStyle w:val="TableContents"/>
              <w:bidi w:val="0"/>
              <w:spacing w:before="0" w:after="283"/>
              <w:ind w:left="0" w:right="0" w:hanging="0"/>
              <w:jc w:val="right"/>
              <w:rPr/>
            </w:pPr>
            <w:r>
              <w:rPr/>
              <w:t>77</w:t>
            </w:r>
          </w:p>
        </w:tc>
      </w:tr>
      <w:tr>
        <w:trPr/>
        <w:tc>
          <w:tcPr>
            <w:tcW w:w="1610" w:type="dxa"/>
            <w:tcBorders/>
            <w:vAlign w:val="center"/>
          </w:tcPr>
          <w:p>
            <w:pPr>
              <w:pStyle w:val="TableContents"/>
              <w:bidi w:val="0"/>
              <w:spacing w:before="0" w:after="283"/>
              <w:ind w:left="0" w:right="0" w:hanging="0"/>
              <w:jc w:val="left"/>
              <w:rPr>
                <w:b/>
              </w:rPr>
            </w:pPr>
            <w:r>
              <w:rPr>
                <w:b/>
              </w:rPr>
              <w:t>SECTION 6.11</w:t>
            </w:r>
          </w:p>
        </w:tc>
        <w:tc>
          <w:tcPr>
            <w:tcW w:w="4940" w:type="dxa"/>
            <w:tcBorders/>
            <w:vAlign w:val="center"/>
          </w:tcPr>
          <w:p>
            <w:pPr>
              <w:pStyle w:val="TableContents"/>
              <w:bidi w:val="0"/>
              <w:spacing w:before="0" w:after="283"/>
              <w:ind w:left="0" w:right="0" w:hanging="0"/>
              <w:jc w:val="left"/>
              <w:rPr/>
            </w:pPr>
            <w:r>
              <w:rPr/>
              <w:t>Collateral; Further Assurances</w:t>
            </w:r>
          </w:p>
        </w:tc>
        <w:tc>
          <w:tcPr>
            <w:tcW w:w="500" w:type="dxa"/>
            <w:tcBorders/>
            <w:vAlign w:val="center"/>
          </w:tcPr>
          <w:p>
            <w:pPr>
              <w:pStyle w:val="TableContents"/>
              <w:bidi w:val="0"/>
              <w:spacing w:before="0" w:after="283"/>
              <w:ind w:left="0" w:right="0" w:hanging="0"/>
              <w:jc w:val="right"/>
              <w:rPr/>
            </w:pPr>
            <w:r>
              <w:rPr/>
              <w:t>77</w:t>
            </w:r>
          </w:p>
        </w:tc>
      </w:tr>
      <w:tr>
        <w:trPr/>
        <w:tc>
          <w:tcPr>
            <w:tcW w:w="1610" w:type="dxa"/>
            <w:tcBorders/>
            <w:vAlign w:val="center"/>
          </w:tcPr>
          <w:p>
            <w:pPr>
              <w:pStyle w:val="TableContents"/>
              <w:bidi w:val="0"/>
              <w:spacing w:before="0" w:after="283"/>
              <w:ind w:left="0" w:right="0" w:hanging="0"/>
              <w:jc w:val="left"/>
              <w:rPr>
                <w:b/>
              </w:rPr>
            </w:pPr>
            <w:r>
              <w:rPr>
                <w:b/>
              </w:rPr>
              <w:t>SECTION 6.12</w:t>
            </w:r>
          </w:p>
        </w:tc>
        <w:tc>
          <w:tcPr>
            <w:tcW w:w="4940" w:type="dxa"/>
            <w:tcBorders/>
            <w:vAlign w:val="center"/>
          </w:tcPr>
          <w:p>
            <w:pPr>
              <w:pStyle w:val="TableContents"/>
              <w:bidi w:val="0"/>
              <w:spacing w:before="0" w:after="283"/>
              <w:ind w:left="0" w:right="0" w:hanging="0"/>
              <w:jc w:val="left"/>
              <w:rPr/>
            </w:pPr>
            <w:r>
              <w:rPr/>
              <w:t>[Reserved]</w:t>
            </w:r>
          </w:p>
        </w:tc>
        <w:tc>
          <w:tcPr>
            <w:tcW w:w="500" w:type="dxa"/>
            <w:tcBorders/>
            <w:vAlign w:val="center"/>
          </w:tcPr>
          <w:p>
            <w:pPr>
              <w:pStyle w:val="TableContents"/>
              <w:bidi w:val="0"/>
              <w:spacing w:before="0" w:after="283"/>
              <w:ind w:left="0" w:right="0" w:hanging="0"/>
              <w:jc w:val="right"/>
              <w:rPr/>
            </w:pPr>
            <w:r>
              <w:rPr/>
              <w:t>78</w:t>
            </w:r>
          </w:p>
        </w:tc>
      </w:tr>
      <w:tr>
        <w:trPr/>
        <w:tc>
          <w:tcPr>
            <w:tcW w:w="1610" w:type="dxa"/>
            <w:tcBorders/>
            <w:vAlign w:val="center"/>
          </w:tcPr>
          <w:p>
            <w:pPr>
              <w:pStyle w:val="TableContents"/>
              <w:bidi w:val="0"/>
              <w:spacing w:before="0" w:after="283"/>
              <w:ind w:left="0" w:right="0" w:hanging="0"/>
              <w:jc w:val="left"/>
              <w:rPr>
                <w:b/>
              </w:rPr>
            </w:pPr>
            <w:r>
              <w:rPr>
                <w:b/>
              </w:rPr>
              <w:t>SECTION 6.13</w:t>
            </w:r>
          </w:p>
        </w:tc>
        <w:tc>
          <w:tcPr>
            <w:tcW w:w="4940" w:type="dxa"/>
            <w:tcBorders/>
            <w:vAlign w:val="center"/>
          </w:tcPr>
          <w:p>
            <w:pPr>
              <w:pStyle w:val="TableContents"/>
              <w:bidi w:val="0"/>
              <w:spacing w:before="0" w:after="283"/>
              <w:ind w:left="0" w:right="0" w:hanging="0"/>
              <w:jc w:val="left"/>
              <w:rPr/>
            </w:pPr>
            <w:r>
              <w:rPr/>
              <w:t>[Reserved]</w:t>
            </w:r>
          </w:p>
        </w:tc>
        <w:tc>
          <w:tcPr>
            <w:tcW w:w="500" w:type="dxa"/>
            <w:tcBorders/>
            <w:vAlign w:val="center"/>
          </w:tcPr>
          <w:p>
            <w:pPr>
              <w:pStyle w:val="TableContents"/>
              <w:bidi w:val="0"/>
              <w:spacing w:before="0" w:after="283"/>
              <w:ind w:left="0" w:right="0" w:hanging="0"/>
              <w:jc w:val="right"/>
              <w:rPr/>
            </w:pPr>
            <w:r>
              <w:rPr/>
              <w:t>78</w:t>
            </w:r>
          </w:p>
        </w:tc>
      </w:tr>
      <w:tr>
        <w:trPr/>
        <w:tc>
          <w:tcPr>
            <w:tcW w:w="1610" w:type="dxa"/>
            <w:tcBorders/>
            <w:vAlign w:val="center"/>
          </w:tcPr>
          <w:p>
            <w:pPr>
              <w:pStyle w:val="TableContents"/>
              <w:bidi w:val="0"/>
              <w:spacing w:before="0" w:after="283"/>
              <w:ind w:left="0" w:right="0" w:hanging="0"/>
              <w:jc w:val="left"/>
              <w:rPr/>
            </w:pPr>
            <w:r>
              <w:rPr/>
              <w:t> </w:t>
            </w:r>
          </w:p>
        </w:tc>
        <w:tc>
          <w:tcPr>
            <w:tcW w:w="494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7050" w:type="dxa"/>
            <w:gridSpan w:val="3"/>
            <w:tcBorders/>
            <w:vAlign w:val="center"/>
          </w:tcPr>
          <w:p>
            <w:pPr>
              <w:pStyle w:val="TableContents"/>
              <w:bidi w:val="0"/>
              <w:spacing w:before="0" w:after="283"/>
              <w:ind w:left="0" w:right="0" w:hanging="0"/>
              <w:jc w:val="center"/>
              <w:rPr/>
            </w:pPr>
            <w:r>
              <w:rPr/>
              <w:t>ARTICLE VII.</w:t>
              <w:br/>
              <w:t>NEGATIVE COVENANTS</w:t>
            </w:r>
          </w:p>
        </w:tc>
      </w:tr>
      <w:tr>
        <w:trPr/>
        <w:tc>
          <w:tcPr>
            <w:tcW w:w="7050" w:type="dxa"/>
            <w:gridSpan w:val="3"/>
            <w:tcBorders/>
            <w:vAlign w:val="center"/>
          </w:tcPr>
          <w:p>
            <w:pPr>
              <w:pStyle w:val="TableContents"/>
              <w:bidi w:val="0"/>
              <w:spacing w:before="0" w:after="283"/>
              <w:ind w:left="0" w:right="0" w:hanging="0"/>
              <w:jc w:val="left"/>
              <w:rPr/>
            </w:pPr>
            <w:r>
              <w:rPr/>
              <w:t> </w:t>
            </w:r>
          </w:p>
        </w:tc>
      </w:tr>
      <w:tr>
        <w:trPr/>
        <w:tc>
          <w:tcPr>
            <w:tcW w:w="1610" w:type="dxa"/>
            <w:tcBorders/>
            <w:vAlign w:val="center"/>
          </w:tcPr>
          <w:p>
            <w:pPr>
              <w:pStyle w:val="TableContents"/>
              <w:bidi w:val="0"/>
              <w:spacing w:before="0" w:after="283"/>
              <w:ind w:left="0" w:right="0" w:hanging="0"/>
              <w:jc w:val="left"/>
              <w:rPr>
                <w:b/>
              </w:rPr>
            </w:pPr>
            <w:r>
              <w:rPr>
                <w:b/>
              </w:rPr>
              <w:t>SECTION 7.01</w:t>
            </w:r>
          </w:p>
        </w:tc>
        <w:tc>
          <w:tcPr>
            <w:tcW w:w="4940" w:type="dxa"/>
            <w:tcBorders/>
            <w:vAlign w:val="center"/>
          </w:tcPr>
          <w:p>
            <w:pPr>
              <w:pStyle w:val="TableContents"/>
              <w:bidi w:val="0"/>
              <w:spacing w:before="0" w:after="283"/>
              <w:ind w:left="0" w:right="0" w:hanging="0"/>
              <w:jc w:val="left"/>
              <w:rPr/>
            </w:pPr>
            <w:r>
              <w:rPr/>
              <w:t>Indebtedness; Guarantees</w:t>
            </w:r>
          </w:p>
        </w:tc>
        <w:tc>
          <w:tcPr>
            <w:tcW w:w="500" w:type="dxa"/>
            <w:tcBorders/>
            <w:vAlign w:val="center"/>
          </w:tcPr>
          <w:p>
            <w:pPr>
              <w:pStyle w:val="TableContents"/>
              <w:bidi w:val="0"/>
              <w:spacing w:before="0" w:after="283"/>
              <w:ind w:left="0" w:right="0" w:hanging="0"/>
              <w:jc w:val="right"/>
              <w:rPr/>
            </w:pPr>
            <w:r>
              <w:rPr/>
              <w:t>78</w:t>
            </w:r>
          </w:p>
        </w:tc>
      </w:tr>
      <w:tr>
        <w:trPr/>
        <w:tc>
          <w:tcPr>
            <w:tcW w:w="1610" w:type="dxa"/>
            <w:tcBorders/>
            <w:vAlign w:val="center"/>
          </w:tcPr>
          <w:p>
            <w:pPr>
              <w:pStyle w:val="TableContents"/>
              <w:bidi w:val="0"/>
              <w:spacing w:before="0" w:after="283"/>
              <w:ind w:left="0" w:right="0" w:hanging="0"/>
              <w:jc w:val="left"/>
              <w:rPr>
                <w:b/>
              </w:rPr>
            </w:pPr>
            <w:r>
              <w:rPr>
                <w:b/>
              </w:rPr>
              <w:t>SECTION 7.02</w:t>
            </w:r>
          </w:p>
        </w:tc>
        <w:tc>
          <w:tcPr>
            <w:tcW w:w="4940" w:type="dxa"/>
            <w:tcBorders/>
            <w:vAlign w:val="center"/>
          </w:tcPr>
          <w:p>
            <w:pPr>
              <w:pStyle w:val="TableContents"/>
              <w:bidi w:val="0"/>
              <w:spacing w:before="0" w:after="283"/>
              <w:ind w:left="0" w:right="0" w:hanging="0"/>
              <w:jc w:val="left"/>
              <w:rPr/>
            </w:pPr>
            <w:r>
              <w:rPr/>
              <w:t>Liens</w:t>
            </w:r>
          </w:p>
        </w:tc>
        <w:tc>
          <w:tcPr>
            <w:tcW w:w="500" w:type="dxa"/>
            <w:tcBorders/>
            <w:vAlign w:val="center"/>
          </w:tcPr>
          <w:p>
            <w:pPr>
              <w:pStyle w:val="TableContents"/>
              <w:bidi w:val="0"/>
              <w:spacing w:before="0" w:after="283"/>
              <w:ind w:left="0" w:right="0" w:hanging="0"/>
              <w:jc w:val="right"/>
              <w:rPr/>
            </w:pPr>
            <w:r>
              <w:rPr/>
              <w:t>81</w:t>
            </w:r>
          </w:p>
        </w:tc>
      </w:tr>
      <w:tr>
        <w:trPr/>
        <w:tc>
          <w:tcPr>
            <w:tcW w:w="1610" w:type="dxa"/>
            <w:tcBorders/>
            <w:vAlign w:val="center"/>
          </w:tcPr>
          <w:p>
            <w:pPr>
              <w:pStyle w:val="TableContents"/>
              <w:bidi w:val="0"/>
              <w:spacing w:before="0" w:after="283"/>
              <w:ind w:left="0" w:right="0" w:hanging="0"/>
              <w:jc w:val="left"/>
              <w:rPr>
                <w:b/>
              </w:rPr>
            </w:pPr>
            <w:r>
              <w:rPr>
                <w:b/>
              </w:rPr>
              <w:t>SECTION 7.03</w:t>
            </w:r>
          </w:p>
        </w:tc>
        <w:tc>
          <w:tcPr>
            <w:tcW w:w="4940" w:type="dxa"/>
            <w:tcBorders/>
            <w:vAlign w:val="center"/>
          </w:tcPr>
          <w:p>
            <w:pPr>
              <w:pStyle w:val="TableContents"/>
              <w:bidi w:val="0"/>
              <w:spacing w:before="0" w:after="283"/>
              <w:ind w:left="0" w:right="0" w:hanging="0"/>
              <w:jc w:val="left"/>
              <w:rPr/>
            </w:pPr>
            <w:r>
              <w:rPr/>
              <w:t>Mergers, Consolidations, Etc.</w:t>
            </w:r>
          </w:p>
        </w:tc>
        <w:tc>
          <w:tcPr>
            <w:tcW w:w="500" w:type="dxa"/>
            <w:tcBorders/>
            <w:vAlign w:val="center"/>
          </w:tcPr>
          <w:p>
            <w:pPr>
              <w:pStyle w:val="TableContents"/>
              <w:bidi w:val="0"/>
              <w:spacing w:before="0" w:after="283"/>
              <w:ind w:left="0" w:right="0" w:hanging="0"/>
              <w:jc w:val="right"/>
              <w:rPr/>
            </w:pPr>
            <w:r>
              <w:rPr/>
              <w:t>82</w:t>
            </w:r>
          </w:p>
        </w:tc>
      </w:tr>
      <w:tr>
        <w:trPr/>
        <w:tc>
          <w:tcPr>
            <w:tcW w:w="1610" w:type="dxa"/>
            <w:tcBorders/>
            <w:vAlign w:val="center"/>
          </w:tcPr>
          <w:p>
            <w:pPr>
              <w:pStyle w:val="TableContents"/>
              <w:bidi w:val="0"/>
              <w:spacing w:before="0" w:after="283"/>
              <w:ind w:left="0" w:right="0" w:hanging="0"/>
              <w:jc w:val="left"/>
              <w:rPr>
                <w:b/>
              </w:rPr>
            </w:pPr>
            <w:r>
              <w:rPr>
                <w:b/>
              </w:rPr>
              <w:t>SECTION 7.04</w:t>
            </w:r>
          </w:p>
        </w:tc>
        <w:tc>
          <w:tcPr>
            <w:tcW w:w="4940" w:type="dxa"/>
            <w:tcBorders/>
            <w:vAlign w:val="center"/>
          </w:tcPr>
          <w:p>
            <w:pPr>
              <w:pStyle w:val="TableContents"/>
              <w:bidi w:val="0"/>
              <w:spacing w:before="0" w:after="283"/>
              <w:ind w:left="0" w:right="0" w:hanging="0"/>
              <w:jc w:val="left"/>
              <w:rPr/>
            </w:pPr>
            <w:r>
              <w:rPr/>
              <w:t>Dispositions</w:t>
            </w:r>
          </w:p>
        </w:tc>
        <w:tc>
          <w:tcPr>
            <w:tcW w:w="500" w:type="dxa"/>
            <w:tcBorders/>
            <w:vAlign w:val="center"/>
          </w:tcPr>
          <w:p>
            <w:pPr>
              <w:pStyle w:val="TableContents"/>
              <w:bidi w:val="0"/>
              <w:spacing w:before="0" w:after="283"/>
              <w:ind w:left="0" w:right="0" w:hanging="0"/>
              <w:jc w:val="right"/>
              <w:rPr/>
            </w:pPr>
            <w:r>
              <w:rPr/>
              <w:t>82</w:t>
            </w:r>
          </w:p>
        </w:tc>
      </w:tr>
      <w:tr>
        <w:trPr/>
        <w:tc>
          <w:tcPr>
            <w:tcW w:w="1610" w:type="dxa"/>
            <w:tcBorders/>
            <w:vAlign w:val="center"/>
          </w:tcPr>
          <w:p>
            <w:pPr>
              <w:pStyle w:val="TableContents"/>
              <w:bidi w:val="0"/>
              <w:spacing w:before="0" w:after="283"/>
              <w:ind w:left="0" w:right="0" w:hanging="0"/>
              <w:jc w:val="left"/>
              <w:rPr>
                <w:b/>
              </w:rPr>
            </w:pPr>
            <w:r>
              <w:rPr>
                <w:b/>
              </w:rPr>
              <w:t>SECTION 7.05</w:t>
            </w:r>
          </w:p>
        </w:tc>
        <w:tc>
          <w:tcPr>
            <w:tcW w:w="4940" w:type="dxa"/>
            <w:tcBorders/>
            <w:vAlign w:val="center"/>
          </w:tcPr>
          <w:p>
            <w:pPr>
              <w:pStyle w:val="TableContents"/>
              <w:bidi w:val="0"/>
              <w:spacing w:before="0" w:after="283"/>
              <w:ind w:left="0" w:right="0" w:hanging="0"/>
              <w:jc w:val="left"/>
              <w:rPr/>
            </w:pPr>
            <w:r>
              <w:rPr/>
              <w:t>[Reserved]</w:t>
            </w:r>
          </w:p>
        </w:tc>
        <w:tc>
          <w:tcPr>
            <w:tcW w:w="500" w:type="dxa"/>
            <w:tcBorders/>
            <w:vAlign w:val="center"/>
          </w:tcPr>
          <w:p>
            <w:pPr>
              <w:pStyle w:val="TableContents"/>
              <w:bidi w:val="0"/>
              <w:spacing w:before="0" w:after="283"/>
              <w:ind w:left="0" w:right="0" w:hanging="0"/>
              <w:jc w:val="right"/>
              <w:rPr/>
            </w:pPr>
            <w:r>
              <w:rPr/>
              <w:t>83</w:t>
            </w:r>
          </w:p>
        </w:tc>
      </w:tr>
      <w:tr>
        <w:trPr/>
        <w:tc>
          <w:tcPr>
            <w:tcW w:w="1610" w:type="dxa"/>
            <w:tcBorders/>
            <w:vAlign w:val="center"/>
          </w:tcPr>
          <w:p>
            <w:pPr>
              <w:pStyle w:val="TableContents"/>
              <w:bidi w:val="0"/>
              <w:spacing w:before="0" w:after="283"/>
              <w:ind w:left="0" w:right="0" w:hanging="0"/>
              <w:jc w:val="left"/>
              <w:rPr>
                <w:b/>
              </w:rPr>
            </w:pPr>
            <w:r>
              <w:rPr>
                <w:b/>
              </w:rPr>
              <w:t>SECTION 7.06</w:t>
            </w:r>
          </w:p>
        </w:tc>
        <w:tc>
          <w:tcPr>
            <w:tcW w:w="4940" w:type="dxa"/>
            <w:tcBorders/>
            <w:vAlign w:val="center"/>
          </w:tcPr>
          <w:p>
            <w:pPr>
              <w:pStyle w:val="TableContents"/>
              <w:bidi w:val="0"/>
              <w:spacing w:before="0" w:after="283"/>
              <w:ind w:left="0" w:right="0" w:hanging="0"/>
              <w:jc w:val="left"/>
              <w:rPr/>
            </w:pPr>
            <w:r>
              <w:rPr/>
              <w:t>Investments and Acquisitions</w:t>
            </w:r>
          </w:p>
        </w:tc>
        <w:tc>
          <w:tcPr>
            <w:tcW w:w="500" w:type="dxa"/>
            <w:tcBorders/>
            <w:vAlign w:val="center"/>
          </w:tcPr>
          <w:p>
            <w:pPr>
              <w:pStyle w:val="TableContents"/>
              <w:bidi w:val="0"/>
              <w:spacing w:before="0" w:after="283"/>
              <w:ind w:left="0" w:right="0" w:hanging="0"/>
              <w:jc w:val="right"/>
              <w:rPr/>
            </w:pPr>
            <w:r>
              <w:rPr/>
              <w:t>84</w:t>
            </w:r>
          </w:p>
        </w:tc>
      </w:tr>
      <w:tr>
        <w:trPr/>
        <w:tc>
          <w:tcPr>
            <w:tcW w:w="1610" w:type="dxa"/>
            <w:tcBorders/>
            <w:vAlign w:val="center"/>
          </w:tcPr>
          <w:p>
            <w:pPr>
              <w:pStyle w:val="TableContents"/>
              <w:bidi w:val="0"/>
              <w:spacing w:before="0" w:after="283"/>
              <w:ind w:left="0" w:right="0" w:hanging="0"/>
              <w:jc w:val="left"/>
              <w:rPr>
                <w:b/>
              </w:rPr>
            </w:pPr>
            <w:r>
              <w:rPr>
                <w:b/>
              </w:rPr>
              <w:t>SECTION 7.07</w:t>
            </w:r>
          </w:p>
        </w:tc>
        <w:tc>
          <w:tcPr>
            <w:tcW w:w="4940" w:type="dxa"/>
            <w:tcBorders/>
            <w:vAlign w:val="center"/>
          </w:tcPr>
          <w:p>
            <w:pPr>
              <w:pStyle w:val="TableContents"/>
              <w:bidi w:val="0"/>
              <w:spacing w:before="0" w:after="283"/>
              <w:ind w:left="0" w:right="0" w:hanging="0"/>
              <w:jc w:val="left"/>
              <w:rPr/>
            </w:pPr>
            <w:r>
              <w:rPr/>
              <w:t>Restricted Payments</w:t>
            </w:r>
          </w:p>
        </w:tc>
        <w:tc>
          <w:tcPr>
            <w:tcW w:w="500" w:type="dxa"/>
            <w:tcBorders/>
            <w:vAlign w:val="center"/>
          </w:tcPr>
          <w:p>
            <w:pPr>
              <w:pStyle w:val="TableContents"/>
              <w:bidi w:val="0"/>
              <w:spacing w:before="0" w:after="283"/>
              <w:ind w:left="0" w:right="0" w:hanging="0"/>
              <w:jc w:val="right"/>
              <w:rPr/>
            </w:pPr>
            <w:r>
              <w:rPr/>
              <w:t>85</w:t>
            </w:r>
          </w:p>
        </w:tc>
      </w:tr>
      <w:tr>
        <w:trPr/>
        <w:tc>
          <w:tcPr>
            <w:tcW w:w="1610" w:type="dxa"/>
            <w:tcBorders/>
            <w:vAlign w:val="center"/>
          </w:tcPr>
          <w:p>
            <w:pPr>
              <w:pStyle w:val="TableContents"/>
              <w:bidi w:val="0"/>
              <w:spacing w:before="0" w:after="283"/>
              <w:ind w:left="0" w:right="0" w:hanging="0"/>
              <w:jc w:val="left"/>
              <w:rPr>
                <w:b/>
              </w:rPr>
            </w:pPr>
            <w:r>
              <w:rPr>
                <w:b/>
              </w:rPr>
              <w:t>SECTION 7.08</w:t>
            </w:r>
          </w:p>
        </w:tc>
        <w:tc>
          <w:tcPr>
            <w:tcW w:w="4940" w:type="dxa"/>
            <w:tcBorders/>
            <w:vAlign w:val="center"/>
          </w:tcPr>
          <w:p>
            <w:pPr>
              <w:pStyle w:val="TableContents"/>
              <w:bidi w:val="0"/>
              <w:spacing w:before="0" w:after="283"/>
              <w:ind w:left="0" w:right="0" w:hanging="0"/>
              <w:jc w:val="left"/>
              <w:rPr/>
            </w:pPr>
            <w:r>
              <w:rPr/>
              <w:t>Transactions with Affiliates</w:t>
            </w:r>
          </w:p>
        </w:tc>
        <w:tc>
          <w:tcPr>
            <w:tcW w:w="500" w:type="dxa"/>
            <w:tcBorders/>
            <w:vAlign w:val="center"/>
          </w:tcPr>
          <w:p>
            <w:pPr>
              <w:pStyle w:val="TableContents"/>
              <w:bidi w:val="0"/>
              <w:spacing w:before="0" w:after="283"/>
              <w:ind w:left="0" w:right="0" w:hanging="0"/>
              <w:jc w:val="right"/>
              <w:rPr/>
            </w:pPr>
            <w:r>
              <w:rPr/>
              <w:t>86</w:t>
            </w:r>
          </w:p>
        </w:tc>
      </w:tr>
      <w:tr>
        <w:trPr/>
        <w:tc>
          <w:tcPr>
            <w:tcW w:w="1610" w:type="dxa"/>
            <w:tcBorders/>
            <w:vAlign w:val="center"/>
          </w:tcPr>
          <w:p>
            <w:pPr>
              <w:pStyle w:val="TableContents"/>
              <w:bidi w:val="0"/>
              <w:spacing w:before="0" w:after="283"/>
              <w:ind w:left="0" w:right="0" w:hanging="0"/>
              <w:jc w:val="left"/>
              <w:rPr>
                <w:b/>
              </w:rPr>
            </w:pPr>
            <w:r>
              <w:rPr>
                <w:b/>
              </w:rPr>
              <w:t>SECTION 7.09</w:t>
            </w:r>
          </w:p>
        </w:tc>
        <w:tc>
          <w:tcPr>
            <w:tcW w:w="4940" w:type="dxa"/>
            <w:tcBorders/>
            <w:vAlign w:val="center"/>
          </w:tcPr>
          <w:p>
            <w:pPr>
              <w:pStyle w:val="TableContents"/>
              <w:bidi w:val="0"/>
              <w:spacing w:before="0" w:after="283"/>
              <w:ind w:left="0" w:right="0" w:hanging="0"/>
              <w:jc w:val="left"/>
              <w:rPr/>
            </w:pPr>
            <w:r>
              <w:rPr/>
              <w:t>Restrictive Agreements</w:t>
            </w:r>
          </w:p>
        </w:tc>
        <w:tc>
          <w:tcPr>
            <w:tcW w:w="500" w:type="dxa"/>
            <w:tcBorders/>
            <w:vAlign w:val="center"/>
          </w:tcPr>
          <w:p>
            <w:pPr>
              <w:pStyle w:val="TableContents"/>
              <w:bidi w:val="0"/>
              <w:spacing w:before="0" w:after="283"/>
              <w:ind w:left="0" w:right="0" w:hanging="0"/>
              <w:jc w:val="right"/>
              <w:rPr/>
            </w:pPr>
            <w:r>
              <w:rPr/>
              <w:t>86</w:t>
            </w:r>
          </w:p>
        </w:tc>
      </w:tr>
      <w:tr>
        <w:trPr/>
        <w:tc>
          <w:tcPr>
            <w:tcW w:w="1610" w:type="dxa"/>
            <w:tcBorders/>
            <w:vAlign w:val="center"/>
          </w:tcPr>
          <w:p>
            <w:pPr>
              <w:pStyle w:val="TableContents"/>
              <w:bidi w:val="0"/>
              <w:spacing w:before="0" w:after="283"/>
              <w:ind w:left="0" w:right="0" w:hanging="0"/>
              <w:jc w:val="left"/>
              <w:rPr>
                <w:b/>
              </w:rPr>
            </w:pPr>
            <w:r>
              <w:rPr>
                <w:b/>
              </w:rPr>
              <w:t>SECTION 7.10</w:t>
            </w:r>
          </w:p>
        </w:tc>
        <w:tc>
          <w:tcPr>
            <w:tcW w:w="4940" w:type="dxa"/>
            <w:tcBorders/>
            <w:vAlign w:val="center"/>
          </w:tcPr>
          <w:p>
            <w:pPr>
              <w:pStyle w:val="TableContents"/>
              <w:bidi w:val="0"/>
              <w:spacing w:before="0" w:after="283"/>
              <w:ind w:left="0" w:right="0" w:hanging="0"/>
              <w:jc w:val="left"/>
              <w:rPr/>
            </w:pPr>
            <w:r>
              <w:rPr/>
              <w:t>Swap Agreements</w:t>
            </w:r>
          </w:p>
        </w:tc>
        <w:tc>
          <w:tcPr>
            <w:tcW w:w="500" w:type="dxa"/>
            <w:tcBorders/>
            <w:vAlign w:val="center"/>
          </w:tcPr>
          <w:p>
            <w:pPr>
              <w:pStyle w:val="TableContents"/>
              <w:bidi w:val="0"/>
              <w:spacing w:before="0" w:after="283"/>
              <w:ind w:left="0" w:right="0" w:hanging="0"/>
              <w:jc w:val="right"/>
              <w:rPr/>
            </w:pPr>
            <w:r>
              <w:rPr/>
              <w:t>87</w:t>
            </w:r>
          </w:p>
        </w:tc>
      </w:tr>
      <w:tr>
        <w:trPr/>
        <w:tc>
          <w:tcPr>
            <w:tcW w:w="1610" w:type="dxa"/>
            <w:tcBorders/>
            <w:vAlign w:val="center"/>
          </w:tcPr>
          <w:p>
            <w:pPr>
              <w:pStyle w:val="TableContents"/>
              <w:bidi w:val="0"/>
              <w:spacing w:before="0" w:after="283"/>
              <w:ind w:left="0" w:right="0" w:hanging="0"/>
              <w:jc w:val="left"/>
              <w:rPr>
                <w:b/>
              </w:rPr>
            </w:pPr>
            <w:r>
              <w:rPr>
                <w:b/>
              </w:rPr>
              <w:t>SECTION 7.11</w:t>
            </w:r>
          </w:p>
        </w:tc>
        <w:tc>
          <w:tcPr>
            <w:tcW w:w="4940" w:type="dxa"/>
            <w:tcBorders/>
            <w:vAlign w:val="center"/>
          </w:tcPr>
          <w:p>
            <w:pPr>
              <w:pStyle w:val="TableContents"/>
              <w:bidi w:val="0"/>
              <w:spacing w:before="0" w:after="283"/>
              <w:ind w:left="0" w:right="0" w:hanging="0"/>
              <w:jc w:val="left"/>
              <w:rPr/>
            </w:pPr>
            <w:r>
              <w:rPr/>
              <w:t>Financial Covenants</w:t>
            </w:r>
          </w:p>
        </w:tc>
        <w:tc>
          <w:tcPr>
            <w:tcW w:w="500" w:type="dxa"/>
            <w:tcBorders/>
            <w:vAlign w:val="center"/>
          </w:tcPr>
          <w:p>
            <w:pPr>
              <w:pStyle w:val="TableContents"/>
              <w:bidi w:val="0"/>
              <w:spacing w:before="0" w:after="283"/>
              <w:ind w:left="0" w:right="0" w:hanging="0"/>
              <w:jc w:val="right"/>
              <w:rPr/>
            </w:pPr>
            <w:r>
              <w:rPr/>
              <w:t>87</w:t>
            </w:r>
          </w:p>
        </w:tc>
      </w:tr>
      <w:tr>
        <w:trPr/>
        <w:tc>
          <w:tcPr>
            <w:tcW w:w="1610" w:type="dxa"/>
            <w:tcBorders/>
            <w:vAlign w:val="center"/>
          </w:tcPr>
          <w:p>
            <w:pPr>
              <w:pStyle w:val="TableContents"/>
              <w:bidi w:val="0"/>
              <w:spacing w:before="0" w:after="283"/>
              <w:ind w:left="0" w:right="0" w:hanging="1890"/>
              <w:jc w:val="left"/>
              <w:rPr>
                <w:b/>
              </w:rPr>
            </w:pPr>
            <w:r>
              <w:rPr>
                <w:b/>
              </w:rPr>
              <w:t>SECTION 7.12</w:t>
            </w:r>
          </w:p>
        </w:tc>
        <w:tc>
          <w:tcPr>
            <w:tcW w:w="4940" w:type="dxa"/>
            <w:tcBorders/>
            <w:vAlign w:val="center"/>
          </w:tcPr>
          <w:p>
            <w:pPr>
              <w:pStyle w:val="TableContents"/>
              <w:bidi w:val="0"/>
              <w:spacing w:before="0" w:after="283"/>
              <w:ind w:left="0" w:right="0" w:hanging="0"/>
              <w:jc w:val="left"/>
              <w:rPr/>
            </w:pPr>
            <w:r>
              <w:rPr/>
              <w:t>[Reserved]</w:t>
            </w:r>
          </w:p>
        </w:tc>
        <w:tc>
          <w:tcPr>
            <w:tcW w:w="500" w:type="dxa"/>
            <w:tcBorders/>
            <w:vAlign w:val="center"/>
          </w:tcPr>
          <w:p>
            <w:pPr>
              <w:pStyle w:val="TableContents"/>
              <w:bidi w:val="0"/>
              <w:spacing w:before="0" w:after="283"/>
              <w:jc w:val="right"/>
              <w:rPr/>
            </w:pPr>
            <w:r>
              <w:rPr/>
              <w:t>87</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9900" w:type="dxa"/>
        <w:jc w:val="left"/>
        <w:tblInd w:w="0" w:type="dxa"/>
        <w:tblLayout w:type="fixed"/>
        <w:tblCellMar>
          <w:top w:w="0" w:type="dxa"/>
          <w:left w:w="0" w:type="dxa"/>
          <w:bottom w:w="0" w:type="dxa"/>
          <w:right w:w="0" w:type="dxa"/>
        </w:tblCellMar>
      </w:tblPr>
      <w:tblGrid>
        <w:gridCol w:w="1730"/>
        <w:gridCol w:w="7670"/>
        <w:gridCol w:w="500"/>
      </w:tblGrid>
      <w:tr>
        <w:trPr/>
        <w:tc>
          <w:tcPr>
            <w:tcW w:w="173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173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730" w:type="dxa"/>
            <w:tcBorders/>
            <w:vAlign w:val="center"/>
          </w:tcPr>
          <w:p>
            <w:pPr>
              <w:pStyle w:val="TableContents"/>
              <w:bidi w:val="0"/>
              <w:spacing w:before="0" w:after="283"/>
              <w:ind w:left="0" w:right="0" w:hanging="0"/>
              <w:jc w:val="left"/>
              <w:rPr>
                <w:b/>
              </w:rPr>
            </w:pPr>
            <w:r>
              <w:rPr>
                <w:b/>
              </w:rPr>
              <w:t>SECTION 7.13</w:t>
            </w:r>
          </w:p>
        </w:tc>
        <w:tc>
          <w:tcPr>
            <w:tcW w:w="7670" w:type="dxa"/>
            <w:tcBorders/>
            <w:vAlign w:val="center"/>
          </w:tcPr>
          <w:p>
            <w:pPr>
              <w:pStyle w:val="TableContents"/>
              <w:bidi w:val="0"/>
              <w:spacing w:before="0" w:after="283"/>
              <w:ind w:left="0" w:right="0" w:hanging="0"/>
              <w:jc w:val="left"/>
              <w:rPr/>
            </w:pPr>
            <w:r>
              <w:rPr/>
              <w:t>Stock Issuance</w:t>
            </w:r>
          </w:p>
        </w:tc>
        <w:tc>
          <w:tcPr>
            <w:tcW w:w="500" w:type="dxa"/>
            <w:tcBorders/>
            <w:vAlign w:val="center"/>
          </w:tcPr>
          <w:p>
            <w:pPr>
              <w:pStyle w:val="TableContents"/>
              <w:bidi w:val="0"/>
              <w:spacing w:before="0" w:after="283"/>
              <w:ind w:left="0" w:right="0" w:hanging="0"/>
              <w:jc w:val="right"/>
              <w:rPr/>
            </w:pPr>
            <w:r>
              <w:rPr/>
              <w:t>87</w:t>
            </w:r>
          </w:p>
        </w:tc>
      </w:tr>
      <w:tr>
        <w:trPr/>
        <w:tc>
          <w:tcPr>
            <w:tcW w:w="1730" w:type="dxa"/>
            <w:tcBorders/>
            <w:vAlign w:val="center"/>
          </w:tcPr>
          <w:p>
            <w:pPr>
              <w:pStyle w:val="TableContents"/>
              <w:bidi w:val="0"/>
              <w:spacing w:before="0" w:after="283"/>
              <w:ind w:left="0" w:right="0" w:hanging="0"/>
              <w:jc w:val="left"/>
              <w:rPr>
                <w:b/>
              </w:rPr>
            </w:pPr>
            <w:r>
              <w:rPr>
                <w:b/>
              </w:rPr>
              <w:t>SECTION 7.14</w:t>
            </w:r>
          </w:p>
        </w:tc>
        <w:tc>
          <w:tcPr>
            <w:tcW w:w="7670" w:type="dxa"/>
            <w:tcBorders/>
            <w:vAlign w:val="center"/>
          </w:tcPr>
          <w:p>
            <w:pPr>
              <w:pStyle w:val="TableContents"/>
              <w:bidi w:val="0"/>
              <w:spacing w:before="0" w:after="283"/>
              <w:ind w:left="0" w:right="0" w:hanging="0"/>
              <w:jc w:val="left"/>
              <w:rPr/>
            </w:pPr>
            <w:r>
              <w:rPr/>
              <w:t>Modifications of Certain Documents</w:t>
            </w:r>
          </w:p>
        </w:tc>
        <w:tc>
          <w:tcPr>
            <w:tcW w:w="500" w:type="dxa"/>
            <w:tcBorders/>
            <w:vAlign w:val="center"/>
          </w:tcPr>
          <w:p>
            <w:pPr>
              <w:pStyle w:val="TableContents"/>
              <w:bidi w:val="0"/>
              <w:spacing w:before="0" w:after="283"/>
              <w:ind w:left="0" w:right="0" w:hanging="0"/>
              <w:jc w:val="right"/>
              <w:rPr/>
            </w:pPr>
            <w:r>
              <w:rPr/>
              <w:t>87</w:t>
            </w:r>
          </w:p>
        </w:tc>
      </w:tr>
      <w:tr>
        <w:trPr/>
        <w:tc>
          <w:tcPr>
            <w:tcW w:w="1730" w:type="dxa"/>
            <w:tcBorders/>
            <w:vAlign w:val="center"/>
          </w:tcPr>
          <w:p>
            <w:pPr>
              <w:pStyle w:val="TableContents"/>
              <w:bidi w:val="0"/>
              <w:spacing w:before="0" w:after="283"/>
              <w:ind w:left="0" w:right="0" w:hanging="0"/>
              <w:jc w:val="left"/>
              <w:rPr>
                <w:b/>
              </w:rPr>
            </w:pPr>
            <w:r>
              <w:rPr>
                <w:b/>
              </w:rPr>
              <w:t>SECTION 7.15</w:t>
            </w:r>
          </w:p>
        </w:tc>
        <w:tc>
          <w:tcPr>
            <w:tcW w:w="7670" w:type="dxa"/>
            <w:tcBorders/>
            <w:vAlign w:val="center"/>
          </w:tcPr>
          <w:p>
            <w:pPr>
              <w:pStyle w:val="TableContents"/>
              <w:bidi w:val="0"/>
              <w:spacing w:before="0" w:after="283"/>
              <w:ind w:left="0" w:right="0" w:hanging="0"/>
              <w:jc w:val="left"/>
              <w:rPr/>
            </w:pPr>
            <w:r>
              <w:rPr/>
              <w:t>Use of Proceeds</w:t>
            </w:r>
          </w:p>
        </w:tc>
        <w:tc>
          <w:tcPr>
            <w:tcW w:w="500" w:type="dxa"/>
            <w:tcBorders/>
            <w:vAlign w:val="center"/>
          </w:tcPr>
          <w:p>
            <w:pPr>
              <w:pStyle w:val="TableContents"/>
              <w:bidi w:val="0"/>
              <w:spacing w:before="0" w:after="283"/>
              <w:ind w:left="0" w:right="0" w:hanging="0"/>
              <w:jc w:val="right"/>
              <w:rPr/>
            </w:pPr>
            <w:r>
              <w:rPr/>
              <w:t>88</w:t>
            </w:r>
          </w:p>
        </w:tc>
      </w:tr>
      <w:tr>
        <w:trPr/>
        <w:tc>
          <w:tcPr>
            <w:tcW w:w="1730" w:type="dxa"/>
            <w:tcBorders/>
            <w:vAlign w:val="center"/>
          </w:tcPr>
          <w:p>
            <w:pPr>
              <w:pStyle w:val="TableContents"/>
              <w:bidi w:val="0"/>
              <w:spacing w:before="0" w:after="283"/>
              <w:ind w:left="0" w:right="0" w:hanging="0"/>
              <w:jc w:val="left"/>
              <w:rPr>
                <w:b/>
              </w:rPr>
            </w:pPr>
            <w:r>
              <w:rPr>
                <w:b/>
              </w:rPr>
              <w:t>SECTION 7.16</w:t>
            </w:r>
          </w:p>
        </w:tc>
        <w:tc>
          <w:tcPr>
            <w:tcW w:w="7670" w:type="dxa"/>
            <w:tcBorders/>
            <w:vAlign w:val="center"/>
          </w:tcPr>
          <w:p>
            <w:pPr>
              <w:pStyle w:val="TableContents"/>
              <w:bidi w:val="0"/>
              <w:spacing w:before="0" w:after="283"/>
              <w:ind w:left="0" w:right="0" w:hanging="0"/>
              <w:jc w:val="left"/>
              <w:rPr/>
            </w:pPr>
            <w:r>
              <w:rPr/>
              <w:t>Designation of Unrestricted and Restricted Subsidiaries</w:t>
            </w:r>
          </w:p>
        </w:tc>
        <w:tc>
          <w:tcPr>
            <w:tcW w:w="500" w:type="dxa"/>
            <w:tcBorders/>
            <w:vAlign w:val="center"/>
          </w:tcPr>
          <w:p>
            <w:pPr>
              <w:pStyle w:val="TableContents"/>
              <w:bidi w:val="0"/>
              <w:spacing w:before="0" w:after="283"/>
              <w:ind w:left="0" w:right="0" w:hanging="0"/>
              <w:jc w:val="right"/>
              <w:rPr/>
            </w:pPr>
            <w:r>
              <w:rPr/>
              <w:t>88</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ind w:left="0" w:right="0" w:hanging="0"/>
              <w:jc w:val="center"/>
              <w:rPr/>
            </w:pPr>
            <w:r>
              <w:rPr/>
              <w:t>ARTICLE VIII.</w:t>
              <w:br/>
              <w:t>EVENTS OF DEFAULT AND REMEDIES</w:t>
            </w:r>
          </w:p>
        </w:tc>
      </w:tr>
      <w:tr>
        <w:trPr/>
        <w:tc>
          <w:tcPr>
            <w:tcW w:w="173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ind w:left="0" w:right="0" w:hanging="0"/>
              <w:jc w:val="center"/>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730" w:type="dxa"/>
            <w:tcBorders/>
            <w:vAlign w:val="center"/>
          </w:tcPr>
          <w:p>
            <w:pPr>
              <w:pStyle w:val="TableContents"/>
              <w:bidi w:val="0"/>
              <w:spacing w:before="0" w:after="283"/>
              <w:ind w:left="0" w:right="0" w:hanging="0"/>
              <w:jc w:val="left"/>
              <w:rPr>
                <w:b/>
              </w:rPr>
            </w:pPr>
            <w:r>
              <w:rPr>
                <w:b/>
              </w:rPr>
              <w:t>SECTION 8.01</w:t>
            </w:r>
          </w:p>
        </w:tc>
        <w:tc>
          <w:tcPr>
            <w:tcW w:w="7670" w:type="dxa"/>
            <w:tcBorders/>
            <w:vAlign w:val="center"/>
          </w:tcPr>
          <w:p>
            <w:pPr>
              <w:pStyle w:val="TableContents"/>
              <w:bidi w:val="0"/>
              <w:spacing w:before="0" w:after="283"/>
              <w:ind w:left="0" w:right="0" w:hanging="0"/>
              <w:jc w:val="left"/>
              <w:rPr/>
            </w:pPr>
            <w:r>
              <w:rPr/>
              <w:t>Events of Default</w:t>
            </w:r>
          </w:p>
        </w:tc>
        <w:tc>
          <w:tcPr>
            <w:tcW w:w="500" w:type="dxa"/>
            <w:tcBorders/>
            <w:vAlign w:val="center"/>
          </w:tcPr>
          <w:p>
            <w:pPr>
              <w:pStyle w:val="TableContents"/>
              <w:bidi w:val="0"/>
              <w:spacing w:before="0" w:after="283"/>
              <w:ind w:left="0" w:right="0" w:hanging="0"/>
              <w:jc w:val="right"/>
              <w:rPr/>
            </w:pPr>
            <w:r>
              <w:rPr/>
              <w:t>89</w:t>
            </w:r>
          </w:p>
        </w:tc>
      </w:tr>
      <w:tr>
        <w:trPr/>
        <w:tc>
          <w:tcPr>
            <w:tcW w:w="1730" w:type="dxa"/>
            <w:tcBorders/>
            <w:vAlign w:val="center"/>
          </w:tcPr>
          <w:p>
            <w:pPr>
              <w:pStyle w:val="TableContents"/>
              <w:bidi w:val="0"/>
              <w:spacing w:before="0" w:after="283"/>
              <w:ind w:left="0" w:right="0" w:hanging="0"/>
              <w:jc w:val="left"/>
              <w:rPr>
                <w:b/>
              </w:rPr>
            </w:pPr>
            <w:r>
              <w:rPr>
                <w:b/>
              </w:rPr>
              <w:t>SECTION 8.02</w:t>
            </w:r>
          </w:p>
        </w:tc>
        <w:tc>
          <w:tcPr>
            <w:tcW w:w="7670" w:type="dxa"/>
            <w:tcBorders/>
            <w:vAlign w:val="center"/>
          </w:tcPr>
          <w:p>
            <w:pPr>
              <w:pStyle w:val="TableContents"/>
              <w:bidi w:val="0"/>
              <w:spacing w:before="0" w:after="283"/>
              <w:ind w:left="0" w:right="0" w:hanging="0"/>
              <w:jc w:val="left"/>
              <w:rPr/>
            </w:pPr>
            <w:r>
              <w:rPr/>
              <w:t>Remedies Upon Event of Default</w:t>
            </w:r>
          </w:p>
        </w:tc>
        <w:tc>
          <w:tcPr>
            <w:tcW w:w="500" w:type="dxa"/>
            <w:tcBorders/>
            <w:vAlign w:val="center"/>
          </w:tcPr>
          <w:p>
            <w:pPr>
              <w:pStyle w:val="TableContents"/>
              <w:bidi w:val="0"/>
              <w:spacing w:before="0" w:after="283"/>
              <w:ind w:left="0" w:right="0" w:hanging="0"/>
              <w:jc w:val="right"/>
              <w:rPr/>
            </w:pPr>
            <w:r>
              <w:rPr/>
              <w:t>91</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ind w:left="0" w:right="0" w:hanging="0"/>
              <w:jc w:val="center"/>
              <w:rPr/>
            </w:pPr>
            <w:r>
              <w:rPr/>
              <w:t>ARTICLE IX.</w:t>
              <w:br/>
              <w:t>ADMINISTRATIVE AGENT</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730" w:type="dxa"/>
            <w:tcBorders/>
            <w:vAlign w:val="center"/>
          </w:tcPr>
          <w:p>
            <w:pPr>
              <w:pStyle w:val="TableContents"/>
              <w:bidi w:val="0"/>
              <w:spacing w:before="0" w:after="283"/>
              <w:ind w:left="0" w:right="0" w:hanging="0"/>
              <w:jc w:val="left"/>
              <w:rPr>
                <w:b/>
              </w:rPr>
            </w:pPr>
            <w:r>
              <w:rPr>
                <w:b/>
              </w:rPr>
              <w:t>SECTION 9.01</w:t>
            </w:r>
          </w:p>
        </w:tc>
        <w:tc>
          <w:tcPr>
            <w:tcW w:w="7670" w:type="dxa"/>
            <w:tcBorders/>
            <w:vAlign w:val="center"/>
          </w:tcPr>
          <w:p>
            <w:pPr>
              <w:pStyle w:val="TableContents"/>
              <w:bidi w:val="0"/>
              <w:spacing w:before="0" w:after="283"/>
              <w:ind w:left="0" w:right="0" w:hanging="0"/>
              <w:jc w:val="left"/>
              <w:rPr/>
            </w:pPr>
            <w:r>
              <w:rPr/>
              <w:t>Appointment and Authority</w:t>
            </w:r>
          </w:p>
        </w:tc>
        <w:tc>
          <w:tcPr>
            <w:tcW w:w="500" w:type="dxa"/>
            <w:tcBorders/>
            <w:vAlign w:val="center"/>
          </w:tcPr>
          <w:p>
            <w:pPr>
              <w:pStyle w:val="TableContents"/>
              <w:bidi w:val="0"/>
              <w:spacing w:before="0" w:after="283"/>
              <w:ind w:left="0" w:right="0" w:hanging="0"/>
              <w:jc w:val="right"/>
              <w:rPr/>
            </w:pPr>
            <w:r>
              <w:rPr/>
              <w:t>91</w:t>
            </w:r>
          </w:p>
        </w:tc>
      </w:tr>
      <w:tr>
        <w:trPr/>
        <w:tc>
          <w:tcPr>
            <w:tcW w:w="1730" w:type="dxa"/>
            <w:tcBorders/>
            <w:vAlign w:val="center"/>
          </w:tcPr>
          <w:p>
            <w:pPr>
              <w:pStyle w:val="TableContents"/>
              <w:bidi w:val="0"/>
              <w:spacing w:before="0" w:after="283"/>
              <w:ind w:left="0" w:right="0" w:hanging="0"/>
              <w:jc w:val="left"/>
              <w:rPr>
                <w:b/>
              </w:rPr>
            </w:pPr>
            <w:r>
              <w:rPr>
                <w:b/>
              </w:rPr>
              <w:t>SECTION 9.02</w:t>
            </w:r>
          </w:p>
        </w:tc>
        <w:tc>
          <w:tcPr>
            <w:tcW w:w="7670" w:type="dxa"/>
            <w:tcBorders/>
            <w:vAlign w:val="center"/>
          </w:tcPr>
          <w:p>
            <w:pPr>
              <w:pStyle w:val="TableContents"/>
              <w:bidi w:val="0"/>
              <w:spacing w:before="0" w:after="283"/>
              <w:ind w:left="0" w:right="0" w:hanging="0"/>
              <w:jc w:val="left"/>
              <w:rPr/>
            </w:pPr>
            <w:r>
              <w:rPr/>
              <w:t>Rights as a Lender</w:t>
            </w:r>
          </w:p>
        </w:tc>
        <w:tc>
          <w:tcPr>
            <w:tcW w:w="500" w:type="dxa"/>
            <w:tcBorders/>
            <w:vAlign w:val="center"/>
          </w:tcPr>
          <w:p>
            <w:pPr>
              <w:pStyle w:val="TableContents"/>
              <w:bidi w:val="0"/>
              <w:spacing w:before="0" w:after="283"/>
              <w:ind w:left="0" w:right="0" w:hanging="0"/>
              <w:jc w:val="right"/>
              <w:rPr/>
            </w:pPr>
            <w:r>
              <w:rPr/>
              <w:t>92</w:t>
            </w:r>
          </w:p>
        </w:tc>
      </w:tr>
      <w:tr>
        <w:trPr/>
        <w:tc>
          <w:tcPr>
            <w:tcW w:w="1730" w:type="dxa"/>
            <w:tcBorders/>
            <w:vAlign w:val="center"/>
          </w:tcPr>
          <w:p>
            <w:pPr>
              <w:pStyle w:val="TableContents"/>
              <w:bidi w:val="0"/>
              <w:spacing w:before="0" w:after="283"/>
              <w:ind w:left="0" w:right="0" w:hanging="0"/>
              <w:jc w:val="left"/>
              <w:rPr>
                <w:b/>
              </w:rPr>
            </w:pPr>
            <w:r>
              <w:rPr>
                <w:b/>
              </w:rPr>
              <w:t>SECTION 9.03</w:t>
            </w:r>
          </w:p>
        </w:tc>
        <w:tc>
          <w:tcPr>
            <w:tcW w:w="7670" w:type="dxa"/>
            <w:tcBorders/>
            <w:vAlign w:val="center"/>
          </w:tcPr>
          <w:p>
            <w:pPr>
              <w:pStyle w:val="TableContents"/>
              <w:bidi w:val="0"/>
              <w:spacing w:before="0" w:after="283"/>
              <w:ind w:left="0" w:right="0" w:hanging="0"/>
              <w:jc w:val="left"/>
              <w:rPr/>
            </w:pPr>
            <w:r>
              <w:rPr/>
              <w:t>Exculpatory Provisions</w:t>
            </w:r>
          </w:p>
        </w:tc>
        <w:tc>
          <w:tcPr>
            <w:tcW w:w="500" w:type="dxa"/>
            <w:tcBorders/>
            <w:vAlign w:val="center"/>
          </w:tcPr>
          <w:p>
            <w:pPr>
              <w:pStyle w:val="TableContents"/>
              <w:bidi w:val="0"/>
              <w:spacing w:before="0" w:after="283"/>
              <w:ind w:left="0" w:right="0" w:hanging="0"/>
              <w:jc w:val="right"/>
              <w:rPr/>
            </w:pPr>
            <w:r>
              <w:rPr/>
              <w:t>92</w:t>
            </w:r>
          </w:p>
        </w:tc>
      </w:tr>
      <w:tr>
        <w:trPr/>
        <w:tc>
          <w:tcPr>
            <w:tcW w:w="1730" w:type="dxa"/>
            <w:tcBorders/>
            <w:vAlign w:val="center"/>
          </w:tcPr>
          <w:p>
            <w:pPr>
              <w:pStyle w:val="TableContents"/>
              <w:bidi w:val="0"/>
              <w:spacing w:before="0" w:after="283"/>
              <w:ind w:left="0" w:right="0" w:hanging="0"/>
              <w:jc w:val="left"/>
              <w:rPr>
                <w:b/>
              </w:rPr>
            </w:pPr>
            <w:r>
              <w:rPr>
                <w:b/>
              </w:rPr>
              <w:t>SECTION 9.04</w:t>
            </w:r>
          </w:p>
        </w:tc>
        <w:tc>
          <w:tcPr>
            <w:tcW w:w="7670" w:type="dxa"/>
            <w:tcBorders/>
            <w:vAlign w:val="center"/>
          </w:tcPr>
          <w:p>
            <w:pPr>
              <w:pStyle w:val="TableContents"/>
              <w:bidi w:val="0"/>
              <w:spacing w:before="0" w:after="283"/>
              <w:ind w:left="0" w:right="0" w:hanging="0"/>
              <w:jc w:val="left"/>
              <w:rPr/>
            </w:pPr>
            <w:r>
              <w:rPr/>
              <w:t>Reliance by Administrative Agent</w:t>
            </w:r>
          </w:p>
        </w:tc>
        <w:tc>
          <w:tcPr>
            <w:tcW w:w="500" w:type="dxa"/>
            <w:tcBorders/>
            <w:vAlign w:val="center"/>
          </w:tcPr>
          <w:p>
            <w:pPr>
              <w:pStyle w:val="TableContents"/>
              <w:bidi w:val="0"/>
              <w:spacing w:before="0" w:after="283"/>
              <w:ind w:left="0" w:right="0" w:hanging="0"/>
              <w:jc w:val="right"/>
              <w:rPr/>
            </w:pPr>
            <w:r>
              <w:rPr/>
              <w:t>93</w:t>
            </w:r>
          </w:p>
        </w:tc>
      </w:tr>
      <w:tr>
        <w:trPr/>
        <w:tc>
          <w:tcPr>
            <w:tcW w:w="1730" w:type="dxa"/>
            <w:tcBorders/>
            <w:vAlign w:val="center"/>
          </w:tcPr>
          <w:p>
            <w:pPr>
              <w:pStyle w:val="TableContents"/>
              <w:bidi w:val="0"/>
              <w:spacing w:before="0" w:after="283"/>
              <w:ind w:left="0" w:right="0" w:hanging="0"/>
              <w:jc w:val="left"/>
              <w:rPr>
                <w:b/>
              </w:rPr>
            </w:pPr>
            <w:r>
              <w:rPr>
                <w:b/>
              </w:rPr>
              <w:t>SECTION 9.05</w:t>
            </w:r>
          </w:p>
        </w:tc>
        <w:tc>
          <w:tcPr>
            <w:tcW w:w="7670" w:type="dxa"/>
            <w:tcBorders/>
            <w:vAlign w:val="center"/>
          </w:tcPr>
          <w:p>
            <w:pPr>
              <w:pStyle w:val="TableContents"/>
              <w:bidi w:val="0"/>
              <w:spacing w:before="0" w:after="283"/>
              <w:ind w:left="0" w:right="0" w:hanging="0"/>
              <w:jc w:val="left"/>
              <w:rPr/>
            </w:pPr>
            <w:r>
              <w:rPr/>
              <w:t>Delegation of Duties</w:t>
            </w:r>
          </w:p>
        </w:tc>
        <w:tc>
          <w:tcPr>
            <w:tcW w:w="500" w:type="dxa"/>
            <w:tcBorders/>
            <w:vAlign w:val="center"/>
          </w:tcPr>
          <w:p>
            <w:pPr>
              <w:pStyle w:val="TableContents"/>
              <w:bidi w:val="0"/>
              <w:spacing w:before="0" w:after="283"/>
              <w:ind w:left="0" w:right="0" w:hanging="0"/>
              <w:jc w:val="right"/>
              <w:rPr/>
            </w:pPr>
            <w:r>
              <w:rPr/>
              <w:t>93</w:t>
            </w:r>
          </w:p>
        </w:tc>
      </w:tr>
      <w:tr>
        <w:trPr/>
        <w:tc>
          <w:tcPr>
            <w:tcW w:w="1730" w:type="dxa"/>
            <w:tcBorders/>
            <w:vAlign w:val="center"/>
          </w:tcPr>
          <w:p>
            <w:pPr>
              <w:pStyle w:val="TableContents"/>
              <w:bidi w:val="0"/>
              <w:spacing w:before="0" w:after="283"/>
              <w:ind w:left="0" w:right="0" w:hanging="0"/>
              <w:jc w:val="left"/>
              <w:rPr>
                <w:b/>
              </w:rPr>
            </w:pPr>
            <w:r>
              <w:rPr>
                <w:b/>
              </w:rPr>
              <w:t>SECTION 9.06</w:t>
            </w:r>
          </w:p>
        </w:tc>
        <w:tc>
          <w:tcPr>
            <w:tcW w:w="7670" w:type="dxa"/>
            <w:tcBorders/>
            <w:vAlign w:val="center"/>
          </w:tcPr>
          <w:p>
            <w:pPr>
              <w:pStyle w:val="TableContents"/>
              <w:bidi w:val="0"/>
              <w:spacing w:before="0" w:after="283"/>
              <w:ind w:left="0" w:right="0" w:hanging="0"/>
              <w:jc w:val="left"/>
              <w:rPr/>
            </w:pPr>
            <w:r>
              <w:rPr/>
              <w:t>Resignation of Administrative Agent</w:t>
            </w:r>
          </w:p>
        </w:tc>
        <w:tc>
          <w:tcPr>
            <w:tcW w:w="500" w:type="dxa"/>
            <w:tcBorders/>
            <w:vAlign w:val="center"/>
          </w:tcPr>
          <w:p>
            <w:pPr>
              <w:pStyle w:val="TableContents"/>
              <w:bidi w:val="0"/>
              <w:spacing w:before="0" w:after="283"/>
              <w:ind w:left="0" w:right="0" w:hanging="0"/>
              <w:jc w:val="right"/>
              <w:rPr/>
            </w:pPr>
            <w:r>
              <w:rPr/>
              <w:t>94</w:t>
            </w:r>
          </w:p>
        </w:tc>
      </w:tr>
      <w:tr>
        <w:trPr/>
        <w:tc>
          <w:tcPr>
            <w:tcW w:w="1730" w:type="dxa"/>
            <w:tcBorders/>
            <w:vAlign w:val="center"/>
          </w:tcPr>
          <w:p>
            <w:pPr>
              <w:pStyle w:val="TableContents"/>
              <w:bidi w:val="0"/>
              <w:spacing w:before="0" w:after="283"/>
              <w:ind w:left="0" w:right="0" w:hanging="0"/>
              <w:jc w:val="left"/>
              <w:rPr>
                <w:b/>
              </w:rPr>
            </w:pPr>
            <w:r>
              <w:rPr>
                <w:b/>
              </w:rPr>
              <w:t>SECTION 9.07</w:t>
            </w:r>
          </w:p>
        </w:tc>
        <w:tc>
          <w:tcPr>
            <w:tcW w:w="7670" w:type="dxa"/>
            <w:tcBorders/>
            <w:vAlign w:val="center"/>
          </w:tcPr>
          <w:p>
            <w:pPr>
              <w:pStyle w:val="TableContents"/>
              <w:bidi w:val="0"/>
              <w:spacing w:before="0" w:after="283"/>
              <w:ind w:left="0" w:right="0" w:hanging="0"/>
              <w:jc w:val="left"/>
              <w:rPr/>
            </w:pPr>
            <w:r>
              <w:rPr/>
              <w:t>Non-Reliance on the Administrative Agent, the Arrangers and the Other Lenders</w:t>
            </w:r>
          </w:p>
        </w:tc>
        <w:tc>
          <w:tcPr>
            <w:tcW w:w="500" w:type="dxa"/>
            <w:tcBorders/>
            <w:vAlign w:val="center"/>
          </w:tcPr>
          <w:p>
            <w:pPr>
              <w:pStyle w:val="TableContents"/>
              <w:bidi w:val="0"/>
              <w:spacing w:before="0" w:after="283"/>
              <w:ind w:left="0" w:right="0" w:hanging="0"/>
              <w:jc w:val="right"/>
              <w:rPr/>
            </w:pPr>
            <w:r>
              <w:rPr/>
              <w:t>94</w:t>
            </w:r>
          </w:p>
        </w:tc>
      </w:tr>
      <w:tr>
        <w:trPr/>
        <w:tc>
          <w:tcPr>
            <w:tcW w:w="1730" w:type="dxa"/>
            <w:tcBorders/>
            <w:vAlign w:val="center"/>
          </w:tcPr>
          <w:p>
            <w:pPr>
              <w:pStyle w:val="TableContents"/>
              <w:bidi w:val="0"/>
              <w:spacing w:before="0" w:after="283"/>
              <w:ind w:left="0" w:right="0" w:hanging="0"/>
              <w:jc w:val="left"/>
              <w:rPr>
                <w:b/>
              </w:rPr>
            </w:pPr>
            <w:r>
              <w:rPr>
                <w:b/>
              </w:rPr>
              <w:t>SECTION 9.08</w:t>
            </w:r>
          </w:p>
        </w:tc>
        <w:tc>
          <w:tcPr>
            <w:tcW w:w="7670" w:type="dxa"/>
            <w:tcBorders/>
            <w:vAlign w:val="center"/>
          </w:tcPr>
          <w:p>
            <w:pPr>
              <w:pStyle w:val="TableContents"/>
              <w:bidi w:val="0"/>
              <w:spacing w:before="0" w:after="283"/>
              <w:ind w:left="0" w:right="0" w:hanging="0"/>
              <w:jc w:val="left"/>
              <w:rPr/>
            </w:pPr>
            <w:r>
              <w:rPr/>
              <w:t>No Other Duties, Etc.</w:t>
            </w:r>
          </w:p>
        </w:tc>
        <w:tc>
          <w:tcPr>
            <w:tcW w:w="500" w:type="dxa"/>
            <w:tcBorders/>
            <w:vAlign w:val="center"/>
          </w:tcPr>
          <w:p>
            <w:pPr>
              <w:pStyle w:val="TableContents"/>
              <w:bidi w:val="0"/>
              <w:spacing w:before="0" w:after="283"/>
              <w:ind w:left="0" w:right="0" w:hanging="0"/>
              <w:jc w:val="right"/>
              <w:rPr/>
            </w:pPr>
            <w:r>
              <w:rPr/>
              <w:t>95</w:t>
            </w:r>
          </w:p>
        </w:tc>
      </w:tr>
      <w:tr>
        <w:trPr/>
        <w:tc>
          <w:tcPr>
            <w:tcW w:w="1730" w:type="dxa"/>
            <w:tcBorders/>
            <w:vAlign w:val="center"/>
          </w:tcPr>
          <w:p>
            <w:pPr>
              <w:pStyle w:val="TableContents"/>
              <w:bidi w:val="0"/>
              <w:spacing w:before="0" w:after="283"/>
              <w:ind w:left="0" w:right="0" w:hanging="0"/>
              <w:jc w:val="left"/>
              <w:rPr>
                <w:b/>
              </w:rPr>
            </w:pPr>
            <w:r>
              <w:rPr>
                <w:b/>
              </w:rPr>
              <w:t>SECTION 9.09</w:t>
            </w:r>
          </w:p>
        </w:tc>
        <w:tc>
          <w:tcPr>
            <w:tcW w:w="7670" w:type="dxa"/>
            <w:tcBorders/>
            <w:vAlign w:val="center"/>
          </w:tcPr>
          <w:p>
            <w:pPr>
              <w:pStyle w:val="TableContents"/>
              <w:bidi w:val="0"/>
              <w:spacing w:before="0" w:after="283"/>
              <w:ind w:left="0" w:right="0" w:hanging="0"/>
              <w:jc w:val="left"/>
              <w:rPr/>
            </w:pPr>
            <w:r>
              <w:rPr/>
              <w:t>Administrative Agent May File Proofs of Claim; Credit Bidding</w:t>
            </w:r>
          </w:p>
        </w:tc>
        <w:tc>
          <w:tcPr>
            <w:tcW w:w="500" w:type="dxa"/>
            <w:tcBorders/>
            <w:vAlign w:val="center"/>
          </w:tcPr>
          <w:p>
            <w:pPr>
              <w:pStyle w:val="TableContents"/>
              <w:bidi w:val="0"/>
              <w:spacing w:before="0" w:after="283"/>
              <w:ind w:left="0" w:right="0" w:hanging="0"/>
              <w:jc w:val="right"/>
              <w:rPr/>
            </w:pPr>
            <w:r>
              <w:rPr/>
              <w:t>95</w:t>
            </w:r>
          </w:p>
        </w:tc>
      </w:tr>
      <w:tr>
        <w:trPr/>
        <w:tc>
          <w:tcPr>
            <w:tcW w:w="1730" w:type="dxa"/>
            <w:tcBorders/>
            <w:vAlign w:val="center"/>
          </w:tcPr>
          <w:p>
            <w:pPr>
              <w:pStyle w:val="TableContents"/>
              <w:bidi w:val="0"/>
              <w:spacing w:before="0" w:after="283"/>
              <w:ind w:left="0" w:right="0" w:hanging="0"/>
              <w:jc w:val="left"/>
              <w:rPr>
                <w:b/>
              </w:rPr>
            </w:pPr>
            <w:r>
              <w:rPr>
                <w:b/>
              </w:rPr>
              <w:t>SECTION 9.10</w:t>
            </w:r>
          </w:p>
        </w:tc>
        <w:tc>
          <w:tcPr>
            <w:tcW w:w="7670" w:type="dxa"/>
            <w:tcBorders/>
            <w:vAlign w:val="center"/>
          </w:tcPr>
          <w:p>
            <w:pPr>
              <w:pStyle w:val="TableContents"/>
              <w:bidi w:val="0"/>
              <w:spacing w:before="0" w:after="283"/>
              <w:ind w:left="0" w:right="0" w:hanging="0"/>
              <w:jc w:val="left"/>
              <w:rPr/>
            </w:pPr>
            <w:r>
              <w:rPr/>
              <w:t>Certain ERISA Matters</w:t>
            </w:r>
          </w:p>
        </w:tc>
        <w:tc>
          <w:tcPr>
            <w:tcW w:w="500" w:type="dxa"/>
            <w:tcBorders/>
            <w:vAlign w:val="center"/>
          </w:tcPr>
          <w:p>
            <w:pPr>
              <w:pStyle w:val="TableContents"/>
              <w:bidi w:val="0"/>
              <w:spacing w:before="0" w:after="283"/>
              <w:ind w:left="0" w:right="0" w:hanging="0"/>
              <w:jc w:val="right"/>
              <w:rPr/>
            </w:pPr>
            <w:r>
              <w:rPr/>
              <w:t>96</w:t>
            </w:r>
          </w:p>
        </w:tc>
      </w:tr>
      <w:tr>
        <w:trPr/>
        <w:tc>
          <w:tcPr>
            <w:tcW w:w="1730" w:type="dxa"/>
            <w:tcBorders/>
            <w:vAlign w:val="center"/>
          </w:tcPr>
          <w:p>
            <w:pPr>
              <w:pStyle w:val="TableContents"/>
              <w:bidi w:val="0"/>
              <w:spacing w:before="0" w:after="283"/>
              <w:ind w:left="0" w:right="0" w:hanging="0"/>
              <w:jc w:val="left"/>
              <w:rPr>
                <w:b/>
              </w:rPr>
            </w:pPr>
            <w:r>
              <w:rPr>
                <w:b/>
              </w:rPr>
              <w:t>SECTION 9.11</w:t>
            </w:r>
          </w:p>
        </w:tc>
        <w:tc>
          <w:tcPr>
            <w:tcW w:w="7670" w:type="dxa"/>
            <w:tcBorders/>
            <w:vAlign w:val="center"/>
          </w:tcPr>
          <w:p>
            <w:pPr>
              <w:pStyle w:val="TableContents"/>
              <w:bidi w:val="0"/>
              <w:spacing w:before="0" w:after="283"/>
              <w:ind w:left="0" w:right="0" w:hanging="0"/>
              <w:jc w:val="left"/>
              <w:rPr/>
            </w:pPr>
            <w:r>
              <w:rPr/>
              <w:t>Taxes</w:t>
            </w:r>
          </w:p>
        </w:tc>
        <w:tc>
          <w:tcPr>
            <w:tcW w:w="500" w:type="dxa"/>
            <w:tcBorders/>
            <w:vAlign w:val="center"/>
          </w:tcPr>
          <w:p>
            <w:pPr>
              <w:pStyle w:val="TableContents"/>
              <w:bidi w:val="0"/>
              <w:spacing w:before="0" w:after="283"/>
              <w:ind w:left="0" w:right="0" w:hanging="0"/>
              <w:jc w:val="right"/>
              <w:rPr/>
            </w:pPr>
            <w:r>
              <w:rPr/>
              <w:t>97</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ind w:left="0" w:right="0" w:hanging="0"/>
              <w:jc w:val="center"/>
              <w:rPr/>
            </w:pPr>
            <w:r>
              <w:rPr/>
              <w:t>ARTICLE X.</w:t>
              <w:br/>
              <w:t>MISCELLANEOUS</w:t>
            </w:r>
          </w:p>
        </w:tc>
      </w:tr>
      <w:tr>
        <w:trPr/>
        <w:tc>
          <w:tcPr>
            <w:tcW w:w="1730" w:type="dxa"/>
            <w:tcBorders/>
            <w:vAlign w:val="center"/>
          </w:tcPr>
          <w:p>
            <w:pPr>
              <w:pStyle w:val="TableContents"/>
              <w:bidi w:val="0"/>
              <w:spacing w:before="0" w:after="283"/>
              <w:ind w:left="0" w:right="0" w:hanging="0"/>
              <w:jc w:val="left"/>
              <w:rPr/>
            </w:pPr>
            <w:r>
              <w:rPr/>
              <w:t> </w:t>
            </w:r>
          </w:p>
        </w:tc>
        <w:tc>
          <w:tcPr>
            <w:tcW w:w="767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right"/>
              <w:rPr/>
            </w:pPr>
            <w:r>
              <w:rPr/>
              <w:t> </w:t>
            </w:r>
          </w:p>
        </w:tc>
      </w:tr>
      <w:tr>
        <w:trPr/>
        <w:tc>
          <w:tcPr>
            <w:tcW w:w="1730" w:type="dxa"/>
            <w:tcBorders/>
            <w:vAlign w:val="center"/>
          </w:tcPr>
          <w:p>
            <w:pPr>
              <w:pStyle w:val="TableContents"/>
              <w:bidi w:val="0"/>
              <w:spacing w:before="0" w:after="283"/>
              <w:ind w:left="0" w:right="0" w:hanging="0"/>
              <w:jc w:val="left"/>
              <w:rPr>
                <w:b/>
              </w:rPr>
            </w:pPr>
            <w:r>
              <w:rPr>
                <w:b/>
              </w:rPr>
              <w:t>SECTION 10.01</w:t>
            </w:r>
          </w:p>
        </w:tc>
        <w:tc>
          <w:tcPr>
            <w:tcW w:w="7670" w:type="dxa"/>
            <w:tcBorders/>
            <w:vAlign w:val="center"/>
          </w:tcPr>
          <w:p>
            <w:pPr>
              <w:pStyle w:val="TableContents"/>
              <w:bidi w:val="0"/>
              <w:spacing w:before="0" w:after="283"/>
              <w:ind w:left="0" w:right="0" w:hanging="0"/>
              <w:jc w:val="left"/>
              <w:rPr/>
            </w:pPr>
            <w:r>
              <w:rPr/>
              <w:t>Notices</w:t>
            </w:r>
          </w:p>
        </w:tc>
        <w:tc>
          <w:tcPr>
            <w:tcW w:w="500" w:type="dxa"/>
            <w:tcBorders/>
            <w:vAlign w:val="center"/>
          </w:tcPr>
          <w:p>
            <w:pPr>
              <w:pStyle w:val="TableContents"/>
              <w:bidi w:val="0"/>
              <w:spacing w:before="0" w:after="283"/>
              <w:ind w:left="0" w:right="0" w:hanging="0"/>
              <w:jc w:val="right"/>
              <w:rPr/>
            </w:pPr>
            <w:r>
              <w:rPr/>
              <w:t>97</w:t>
            </w:r>
          </w:p>
        </w:tc>
      </w:tr>
      <w:tr>
        <w:trPr/>
        <w:tc>
          <w:tcPr>
            <w:tcW w:w="1730" w:type="dxa"/>
            <w:tcBorders/>
            <w:vAlign w:val="center"/>
          </w:tcPr>
          <w:p>
            <w:pPr>
              <w:pStyle w:val="TableContents"/>
              <w:bidi w:val="0"/>
              <w:spacing w:before="0" w:after="283"/>
              <w:ind w:left="0" w:right="0" w:hanging="0"/>
              <w:jc w:val="left"/>
              <w:rPr>
                <w:b/>
              </w:rPr>
            </w:pPr>
            <w:r>
              <w:rPr>
                <w:b/>
              </w:rPr>
              <w:t>SECTION 10.02</w:t>
            </w:r>
          </w:p>
        </w:tc>
        <w:tc>
          <w:tcPr>
            <w:tcW w:w="7670" w:type="dxa"/>
            <w:tcBorders/>
            <w:vAlign w:val="center"/>
          </w:tcPr>
          <w:p>
            <w:pPr>
              <w:pStyle w:val="TableContents"/>
              <w:bidi w:val="0"/>
              <w:spacing w:before="0" w:after="283"/>
              <w:ind w:left="0" w:right="0" w:hanging="0"/>
              <w:jc w:val="left"/>
              <w:rPr/>
            </w:pPr>
            <w:r>
              <w:rPr/>
              <w:t>Waivers; Enforcement; Amendments</w:t>
            </w:r>
          </w:p>
        </w:tc>
        <w:tc>
          <w:tcPr>
            <w:tcW w:w="500" w:type="dxa"/>
            <w:tcBorders/>
            <w:vAlign w:val="center"/>
          </w:tcPr>
          <w:p>
            <w:pPr>
              <w:pStyle w:val="TableContents"/>
              <w:bidi w:val="0"/>
              <w:spacing w:before="0" w:after="283"/>
              <w:ind w:left="0" w:right="0" w:hanging="0"/>
              <w:jc w:val="right"/>
              <w:rPr/>
            </w:pPr>
            <w:r>
              <w:rPr/>
              <w:t>98</w:t>
            </w:r>
          </w:p>
        </w:tc>
      </w:tr>
      <w:tr>
        <w:trPr/>
        <w:tc>
          <w:tcPr>
            <w:tcW w:w="1730" w:type="dxa"/>
            <w:tcBorders/>
            <w:vAlign w:val="center"/>
          </w:tcPr>
          <w:p>
            <w:pPr>
              <w:pStyle w:val="TableContents"/>
              <w:bidi w:val="0"/>
              <w:spacing w:before="0" w:after="283"/>
              <w:ind w:left="0" w:right="0" w:hanging="0"/>
              <w:jc w:val="left"/>
              <w:rPr>
                <w:b/>
              </w:rPr>
            </w:pPr>
            <w:r>
              <w:rPr>
                <w:b/>
              </w:rPr>
              <w:t>SECTION 10.03</w:t>
            </w:r>
          </w:p>
        </w:tc>
        <w:tc>
          <w:tcPr>
            <w:tcW w:w="7670" w:type="dxa"/>
            <w:tcBorders/>
            <w:vAlign w:val="center"/>
          </w:tcPr>
          <w:p>
            <w:pPr>
              <w:pStyle w:val="TableContents"/>
              <w:bidi w:val="0"/>
              <w:spacing w:before="0" w:after="283"/>
              <w:ind w:left="0" w:right="0" w:hanging="0"/>
              <w:jc w:val="left"/>
              <w:rPr/>
            </w:pPr>
            <w:r>
              <w:rPr/>
              <w:t>Expenses; Indemnity; Damage Waiver</w:t>
            </w:r>
          </w:p>
        </w:tc>
        <w:tc>
          <w:tcPr>
            <w:tcW w:w="500" w:type="dxa"/>
            <w:tcBorders/>
            <w:vAlign w:val="center"/>
          </w:tcPr>
          <w:p>
            <w:pPr>
              <w:pStyle w:val="TableContents"/>
              <w:bidi w:val="0"/>
              <w:spacing w:before="0" w:after="283"/>
              <w:ind w:left="0" w:right="0" w:hanging="0"/>
              <w:jc w:val="right"/>
              <w:rPr/>
            </w:pPr>
            <w:r>
              <w:rPr/>
              <w:t>101</w:t>
            </w:r>
          </w:p>
        </w:tc>
      </w:tr>
      <w:tr>
        <w:trPr/>
        <w:tc>
          <w:tcPr>
            <w:tcW w:w="1730" w:type="dxa"/>
            <w:tcBorders/>
            <w:vAlign w:val="center"/>
          </w:tcPr>
          <w:p>
            <w:pPr>
              <w:pStyle w:val="TableContents"/>
              <w:bidi w:val="0"/>
              <w:spacing w:before="0" w:after="283"/>
              <w:ind w:left="0" w:right="0" w:hanging="0"/>
              <w:jc w:val="left"/>
              <w:rPr>
                <w:b/>
              </w:rPr>
            </w:pPr>
            <w:r>
              <w:rPr>
                <w:b/>
              </w:rPr>
              <w:t>SECTION 10.04</w:t>
            </w:r>
          </w:p>
        </w:tc>
        <w:tc>
          <w:tcPr>
            <w:tcW w:w="7670" w:type="dxa"/>
            <w:tcBorders/>
            <w:vAlign w:val="center"/>
          </w:tcPr>
          <w:p>
            <w:pPr>
              <w:pStyle w:val="TableContents"/>
              <w:bidi w:val="0"/>
              <w:spacing w:before="0" w:after="283"/>
              <w:ind w:left="0" w:right="0" w:hanging="0"/>
              <w:jc w:val="left"/>
              <w:rPr/>
            </w:pPr>
            <w:r>
              <w:rPr/>
              <w:t>Successors and Assigns</w:t>
            </w:r>
          </w:p>
        </w:tc>
        <w:tc>
          <w:tcPr>
            <w:tcW w:w="500" w:type="dxa"/>
            <w:tcBorders/>
            <w:vAlign w:val="center"/>
          </w:tcPr>
          <w:p>
            <w:pPr>
              <w:pStyle w:val="TableContents"/>
              <w:bidi w:val="0"/>
              <w:spacing w:before="0" w:after="283"/>
              <w:ind w:left="0" w:right="0" w:hanging="0"/>
              <w:jc w:val="right"/>
              <w:rPr/>
            </w:pPr>
            <w:r>
              <w:rPr/>
              <w:t>102</w:t>
            </w:r>
          </w:p>
        </w:tc>
      </w:tr>
      <w:tr>
        <w:trPr/>
        <w:tc>
          <w:tcPr>
            <w:tcW w:w="1730" w:type="dxa"/>
            <w:tcBorders/>
            <w:vAlign w:val="center"/>
          </w:tcPr>
          <w:p>
            <w:pPr>
              <w:pStyle w:val="TableContents"/>
              <w:bidi w:val="0"/>
              <w:spacing w:before="0" w:after="283"/>
              <w:ind w:left="0" w:right="0" w:hanging="0"/>
              <w:jc w:val="left"/>
              <w:rPr>
                <w:b/>
              </w:rPr>
            </w:pPr>
            <w:r>
              <w:rPr>
                <w:b/>
              </w:rPr>
              <w:t>SECTION 10.05</w:t>
            </w:r>
          </w:p>
        </w:tc>
        <w:tc>
          <w:tcPr>
            <w:tcW w:w="7670" w:type="dxa"/>
            <w:tcBorders/>
            <w:vAlign w:val="center"/>
          </w:tcPr>
          <w:p>
            <w:pPr>
              <w:pStyle w:val="TableContents"/>
              <w:bidi w:val="0"/>
              <w:spacing w:before="0" w:after="283"/>
              <w:ind w:left="0" w:right="0" w:hanging="0"/>
              <w:jc w:val="left"/>
              <w:rPr/>
            </w:pPr>
            <w:r>
              <w:rPr/>
              <w:t>Survival</w:t>
            </w:r>
          </w:p>
        </w:tc>
        <w:tc>
          <w:tcPr>
            <w:tcW w:w="500" w:type="dxa"/>
            <w:tcBorders/>
            <w:vAlign w:val="center"/>
          </w:tcPr>
          <w:p>
            <w:pPr>
              <w:pStyle w:val="TableContents"/>
              <w:bidi w:val="0"/>
              <w:spacing w:before="0" w:after="283"/>
              <w:ind w:left="0" w:right="0" w:hanging="0"/>
              <w:jc w:val="right"/>
              <w:rPr/>
            </w:pPr>
            <w:r>
              <w:rPr/>
              <w:t>106</w:t>
            </w:r>
          </w:p>
        </w:tc>
      </w:tr>
      <w:tr>
        <w:trPr/>
        <w:tc>
          <w:tcPr>
            <w:tcW w:w="1730" w:type="dxa"/>
            <w:tcBorders/>
            <w:vAlign w:val="center"/>
          </w:tcPr>
          <w:p>
            <w:pPr>
              <w:pStyle w:val="TableContents"/>
              <w:bidi w:val="0"/>
              <w:spacing w:before="0" w:after="283"/>
              <w:ind w:left="0" w:right="0" w:hanging="0"/>
              <w:jc w:val="left"/>
              <w:rPr>
                <w:b/>
              </w:rPr>
            </w:pPr>
            <w:r>
              <w:rPr>
                <w:b/>
              </w:rPr>
              <w:t>SECTION 10.06</w:t>
            </w:r>
          </w:p>
        </w:tc>
        <w:tc>
          <w:tcPr>
            <w:tcW w:w="7670" w:type="dxa"/>
            <w:tcBorders/>
            <w:vAlign w:val="center"/>
          </w:tcPr>
          <w:p>
            <w:pPr>
              <w:pStyle w:val="TableContents"/>
              <w:bidi w:val="0"/>
              <w:spacing w:before="0" w:after="283"/>
              <w:ind w:left="0" w:right="0" w:hanging="0"/>
              <w:jc w:val="left"/>
              <w:rPr/>
            </w:pPr>
            <w:r>
              <w:rPr/>
              <w:t>Counterparts; Integration; Effectiveness</w:t>
            </w:r>
          </w:p>
        </w:tc>
        <w:tc>
          <w:tcPr>
            <w:tcW w:w="500" w:type="dxa"/>
            <w:tcBorders/>
            <w:vAlign w:val="center"/>
          </w:tcPr>
          <w:p>
            <w:pPr>
              <w:pStyle w:val="TableContents"/>
              <w:bidi w:val="0"/>
              <w:spacing w:before="0" w:after="283"/>
              <w:ind w:left="0" w:right="0" w:hanging="0"/>
              <w:jc w:val="right"/>
              <w:rPr/>
            </w:pPr>
            <w:r>
              <w:rPr/>
              <w:t>106</w:t>
            </w:r>
          </w:p>
        </w:tc>
      </w:tr>
      <w:tr>
        <w:trPr/>
        <w:tc>
          <w:tcPr>
            <w:tcW w:w="1730" w:type="dxa"/>
            <w:tcBorders/>
            <w:vAlign w:val="center"/>
          </w:tcPr>
          <w:p>
            <w:pPr>
              <w:pStyle w:val="TableContents"/>
              <w:bidi w:val="0"/>
              <w:spacing w:before="0" w:after="283"/>
              <w:ind w:left="0" w:right="0" w:hanging="0"/>
              <w:jc w:val="left"/>
              <w:rPr>
                <w:b/>
              </w:rPr>
            </w:pPr>
            <w:r>
              <w:rPr>
                <w:b/>
              </w:rPr>
              <w:t>SECTION 10.07</w:t>
            </w:r>
          </w:p>
        </w:tc>
        <w:tc>
          <w:tcPr>
            <w:tcW w:w="7670" w:type="dxa"/>
            <w:tcBorders/>
            <w:vAlign w:val="center"/>
          </w:tcPr>
          <w:p>
            <w:pPr>
              <w:pStyle w:val="TableContents"/>
              <w:bidi w:val="0"/>
              <w:spacing w:before="0" w:after="283"/>
              <w:ind w:left="0" w:right="0" w:hanging="0"/>
              <w:jc w:val="left"/>
              <w:rPr/>
            </w:pPr>
            <w:r>
              <w:rPr/>
              <w:t>Severability</w:t>
            </w:r>
          </w:p>
        </w:tc>
        <w:tc>
          <w:tcPr>
            <w:tcW w:w="500" w:type="dxa"/>
            <w:tcBorders/>
            <w:vAlign w:val="center"/>
          </w:tcPr>
          <w:p>
            <w:pPr>
              <w:pStyle w:val="TableContents"/>
              <w:bidi w:val="0"/>
              <w:spacing w:before="0" w:after="283"/>
              <w:ind w:left="0" w:right="0" w:hanging="0"/>
              <w:jc w:val="right"/>
              <w:rPr/>
            </w:pPr>
            <w:r>
              <w:rPr/>
              <w:t>107</w:t>
            </w:r>
          </w:p>
        </w:tc>
      </w:tr>
      <w:tr>
        <w:trPr/>
        <w:tc>
          <w:tcPr>
            <w:tcW w:w="1730" w:type="dxa"/>
            <w:tcBorders/>
            <w:vAlign w:val="center"/>
          </w:tcPr>
          <w:p>
            <w:pPr>
              <w:pStyle w:val="TableContents"/>
              <w:bidi w:val="0"/>
              <w:spacing w:before="0" w:after="283"/>
              <w:ind w:left="0" w:right="0" w:hanging="0"/>
              <w:jc w:val="left"/>
              <w:rPr>
                <w:b/>
              </w:rPr>
            </w:pPr>
            <w:r>
              <w:rPr>
                <w:b/>
              </w:rPr>
              <w:t>SECTION 10.08</w:t>
            </w:r>
          </w:p>
        </w:tc>
        <w:tc>
          <w:tcPr>
            <w:tcW w:w="7670" w:type="dxa"/>
            <w:tcBorders/>
            <w:vAlign w:val="center"/>
          </w:tcPr>
          <w:p>
            <w:pPr>
              <w:pStyle w:val="TableContents"/>
              <w:bidi w:val="0"/>
              <w:spacing w:before="0" w:after="283"/>
              <w:ind w:left="0" w:right="0" w:hanging="0"/>
              <w:jc w:val="left"/>
              <w:rPr/>
            </w:pPr>
            <w:r>
              <w:rPr/>
              <w:t>Right of Setoff</w:t>
            </w:r>
          </w:p>
        </w:tc>
        <w:tc>
          <w:tcPr>
            <w:tcW w:w="500" w:type="dxa"/>
            <w:tcBorders/>
            <w:vAlign w:val="center"/>
          </w:tcPr>
          <w:p>
            <w:pPr>
              <w:pStyle w:val="TableContents"/>
              <w:bidi w:val="0"/>
              <w:spacing w:before="0" w:after="283"/>
              <w:ind w:left="0" w:right="0" w:hanging="0"/>
              <w:jc w:val="right"/>
              <w:rPr/>
            </w:pPr>
            <w:r>
              <w:rPr/>
              <w:t>107</w:t>
            </w:r>
          </w:p>
        </w:tc>
      </w:tr>
      <w:tr>
        <w:trPr/>
        <w:tc>
          <w:tcPr>
            <w:tcW w:w="1730" w:type="dxa"/>
            <w:tcBorders/>
            <w:vAlign w:val="center"/>
          </w:tcPr>
          <w:p>
            <w:pPr>
              <w:pStyle w:val="TableContents"/>
              <w:bidi w:val="0"/>
              <w:spacing w:before="0" w:after="283"/>
              <w:ind w:left="0" w:right="0" w:hanging="0"/>
              <w:jc w:val="left"/>
              <w:rPr>
                <w:b/>
              </w:rPr>
            </w:pPr>
            <w:r>
              <w:rPr>
                <w:b/>
              </w:rPr>
              <w:t>SECTION 10.09</w:t>
            </w:r>
          </w:p>
        </w:tc>
        <w:tc>
          <w:tcPr>
            <w:tcW w:w="7670" w:type="dxa"/>
            <w:tcBorders/>
            <w:vAlign w:val="center"/>
          </w:tcPr>
          <w:p>
            <w:pPr>
              <w:pStyle w:val="TableContents"/>
              <w:bidi w:val="0"/>
              <w:spacing w:before="0" w:after="283"/>
              <w:ind w:left="0" w:right="0" w:hanging="0"/>
              <w:jc w:val="left"/>
              <w:rPr/>
            </w:pPr>
            <w:r>
              <w:rPr/>
              <w:t>Governing Law; Jurisdiction; Consent to Service of Process</w:t>
            </w:r>
          </w:p>
        </w:tc>
        <w:tc>
          <w:tcPr>
            <w:tcW w:w="500" w:type="dxa"/>
            <w:tcBorders/>
            <w:vAlign w:val="center"/>
          </w:tcPr>
          <w:p>
            <w:pPr>
              <w:pStyle w:val="TableContents"/>
              <w:bidi w:val="0"/>
              <w:spacing w:before="0" w:after="283"/>
              <w:ind w:left="0" w:right="0" w:hanging="0"/>
              <w:jc w:val="right"/>
              <w:rPr/>
            </w:pPr>
            <w:r>
              <w:rPr/>
              <w:t>108</w:t>
            </w:r>
          </w:p>
        </w:tc>
      </w:tr>
      <w:tr>
        <w:trPr/>
        <w:tc>
          <w:tcPr>
            <w:tcW w:w="1730" w:type="dxa"/>
            <w:tcBorders/>
            <w:vAlign w:val="center"/>
          </w:tcPr>
          <w:p>
            <w:pPr>
              <w:pStyle w:val="TableContents"/>
              <w:bidi w:val="0"/>
              <w:spacing w:before="0" w:after="283"/>
              <w:ind w:left="0" w:right="0" w:hanging="0"/>
              <w:jc w:val="left"/>
              <w:rPr>
                <w:b/>
              </w:rPr>
            </w:pPr>
            <w:r>
              <w:rPr>
                <w:b/>
              </w:rPr>
              <w:t>SECTION 10.10</w:t>
            </w:r>
          </w:p>
        </w:tc>
        <w:tc>
          <w:tcPr>
            <w:tcW w:w="7670" w:type="dxa"/>
            <w:tcBorders/>
            <w:vAlign w:val="center"/>
          </w:tcPr>
          <w:p>
            <w:pPr>
              <w:pStyle w:val="TableContents"/>
              <w:bidi w:val="0"/>
              <w:spacing w:before="0" w:after="283"/>
              <w:ind w:left="0" w:right="0" w:hanging="0"/>
              <w:jc w:val="left"/>
              <w:rPr/>
            </w:pPr>
            <w:r>
              <w:rPr/>
              <w:t>WAIVER OF JURY TRIAL</w:t>
            </w:r>
          </w:p>
        </w:tc>
        <w:tc>
          <w:tcPr>
            <w:tcW w:w="500" w:type="dxa"/>
            <w:tcBorders/>
            <w:vAlign w:val="center"/>
          </w:tcPr>
          <w:p>
            <w:pPr>
              <w:pStyle w:val="TableContents"/>
              <w:bidi w:val="0"/>
              <w:spacing w:before="0" w:after="283"/>
              <w:ind w:left="0" w:right="0" w:hanging="0"/>
              <w:jc w:val="right"/>
              <w:rPr/>
            </w:pPr>
            <w:r>
              <w:rPr/>
              <w:t>108</w:t>
            </w:r>
          </w:p>
        </w:tc>
      </w:tr>
      <w:tr>
        <w:trPr/>
        <w:tc>
          <w:tcPr>
            <w:tcW w:w="1730" w:type="dxa"/>
            <w:tcBorders/>
            <w:vAlign w:val="center"/>
          </w:tcPr>
          <w:p>
            <w:pPr>
              <w:pStyle w:val="TableContents"/>
              <w:bidi w:val="0"/>
              <w:spacing w:before="0" w:after="283"/>
              <w:ind w:left="0" w:right="0" w:hanging="0"/>
              <w:jc w:val="left"/>
              <w:rPr>
                <w:b/>
              </w:rPr>
            </w:pPr>
            <w:r>
              <w:rPr>
                <w:b/>
              </w:rPr>
              <w:t>SECTION 10.11</w:t>
            </w:r>
          </w:p>
        </w:tc>
        <w:tc>
          <w:tcPr>
            <w:tcW w:w="7670" w:type="dxa"/>
            <w:tcBorders/>
            <w:vAlign w:val="center"/>
          </w:tcPr>
          <w:p>
            <w:pPr>
              <w:pStyle w:val="TableContents"/>
              <w:bidi w:val="0"/>
              <w:spacing w:before="0" w:after="283"/>
              <w:ind w:left="0" w:right="0" w:hanging="0"/>
              <w:jc w:val="left"/>
              <w:rPr/>
            </w:pPr>
            <w:r>
              <w:rPr/>
              <w:t>Judgment Currency</w:t>
            </w:r>
          </w:p>
        </w:tc>
        <w:tc>
          <w:tcPr>
            <w:tcW w:w="500" w:type="dxa"/>
            <w:tcBorders/>
            <w:vAlign w:val="center"/>
          </w:tcPr>
          <w:p>
            <w:pPr>
              <w:pStyle w:val="TableContents"/>
              <w:bidi w:val="0"/>
              <w:spacing w:before="0" w:after="283"/>
              <w:ind w:left="0" w:right="0" w:hanging="0"/>
              <w:jc w:val="right"/>
              <w:rPr/>
            </w:pPr>
            <w:r>
              <w:rPr/>
              <w:t>108</w:t>
            </w:r>
          </w:p>
        </w:tc>
      </w:tr>
      <w:tr>
        <w:trPr/>
        <w:tc>
          <w:tcPr>
            <w:tcW w:w="1730" w:type="dxa"/>
            <w:tcBorders/>
            <w:vAlign w:val="center"/>
          </w:tcPr>
          <w:p>
            <w:pPr>
              <w:pStyle w:val="TableContents"/>
              <w:bidi w:val="0"/>
              <w:spacing w:before="0" w:after="283"/>
              <w:ind w:left="0" w:right="0" w:hanging="0"/>
              <w:jc w:val="left"/>
              <w:rPr>
                <w:b/>
              </w:rPr>
            </w:pPr>
            <w:r>
              <w:rPr>
                <w:b/>
              </w:rPr>
              <w:t>SECTION 10.12</w:t>
            </w:r>
          </w:p>
        </w:tc>
        <w:tc>
          <w:tcPr>
            <w:tcW w:w="7670" w:type="dxa"/>
            <w:tcBorders/>
            <w:vAlign w:val="center"/>
          </w:tcPr>
          <w:p>
            <w:pPr>
              <w:pStyle w:val="TableContents"/>
              <w:bidi w:val="0"/>
              <w:spacing w:before="0" w:after="283"/>
              <w:ind w:left="0" w:right="0" w:hanging="0"/>
              <w:jc w:val="left"/>
              <w:rPr/>
            </w:pPr>
            <w:r>
              <w:rPr/>
              <w:t>Headings</w:t>
            </w:r>
          </w:p>
        </w:tc>
        <w:tc>
          <w:tcPr>
            <w:tcW w:w="500" w:type="dxa"/>
            <w:tcBorders/>
            <w:vAlign w:val="center"/>
          </w:tcPr>
          <w:p>
            <w:pPr>
              <w:pStyle w:val="TableContents"/>
              <w:bidi w:val="0"/>
              <w:spacing w:before="0" w:after="283"/>
              <w:ind w:left="0" w:right="0" w:hanging="0"/>
              <w:jc w:val="right"/>
              <w:rPr/>
            </w:pPr>
            <w:r>
              <w:rPr/>
              <w:t>109</w:t>
            </w:r>
          </w:p>
        </w:tc>
      </w:tr>
      <w:tr>
        <w:trPr/>
        <w:tc>
          <w:tcPr>
            <w:tcW w:w="1730" w:type="dxa"/>
            <w:tcBorders/>
            <w:vAlign w:val="center"/>
          </w:tcPr>
          <w:p>
            <w:pPr>
              <w:pStyle w:val="TableContents"/>
              <w:bidi w:val="0"/>
              <w:spacing w:before="0" w:after="283"/>
              <w:ind w:left="0" w:right="0" w:hanging="0"/>
              <w:jc w:val="left"/>
              <w:rPr>
                <w:b/>
              </w:rPr>
            </w:pPr>
            <w:r>
              <w:rPr>
                <w:b/>
              </w:rPr>
              <w:t>SECTION 10.13</w:t>
            </w:r>
          </w:p>
        </w:tc>
        <w:tc>
          <w:tcPr>
            <w:tcW w:w="7670" w:type="dxa"/>
            <w:tcBorders/>
            <w:vAlign w:val="center"/>
          </w:tcPr>
          <w:p>
            <w:pPr>
              <w:pStyle w:val="TableContents"/>
              <w:bidi w:val="0"/>
              <w:spacing w:before="0" w:after="283"/>
              <w:ind w:left="0" w:right="0" w:hanging="0"/>
              <w:jc w:val="left"/>
              <w:rPr/>
            </w:pPr>
            <w:r>
              <w:rPr/>
              <w:t>Confidentiality</w:t>
            </w:r>
          </w:p>
        </w:tc>
        <w:tc>
          <w:tcPr>
            <w:tcW w:w="500" w:type="dxa"/>
            <w:tcBorders/>
            <w:vAlign w:val="center"/>
          </w:tcPr>
          <w:p>
            <w:pPr>
              <w:pStyle w:val="TableContents"/>
              <w:bidi w:val="0"/>
              <w:spacing w:before="0" w:after="283"/>
              <w:ind w:left="0" w:right="0" w:hanging="0"/>
              <w:jc w:val="right"/>
              <w:rPr/>
            </w:pPr>
            <w:r>
              <w:rPr/>
              <w:t>109</w:t>
            </w:r>
          </w:p>
        </w:tc>
      </w:tr>
      <w:tr>
        <w:trPr/>
        <w:tc>
          <w:tcPr>
            <w:tcW w:w="1730" w:type="dxa"/>
            <w:tcBorders/>
            <w:vAlign w:val="center"/>
          </w:tcPr>
          <w:p>
            <w:pPr>
              <w:pStyle w:val="TableContents"/>
              <w:bidi w:val="0"/>
              <w:spacing w:before="0" w:after="283"/>
              <w:ind w:left="0" w:right="0" w:hanging="0"/>
              <w:jc w:val="left"/>
              <w:rPr>
                <w:b/>
              </w:rPr>
            </w:pPr>
            <w:r>
              <w:rPr>
                <w:b/>
              </w:rPr>
              <w:t>SECTION 10.14</w:t>
            </w:r>
          </w:p>
        </w:tc>
        <w:tc>
          <w:tcPr>
            <w:tcW w:w="7670" w:type="dxa"/>
            <w:tcBorders/>
            <w:vAlign w:val="center"/>
          </w:tcPr>
          <w:p>
            <w:pPr>
              <w:pStyle w:val="TableContents"/>
              <w:bidi w:val="0"/>
              <w:spacing w:before="0" w:after="283"/>
              <w:ind w:left="0" w:right="0" w:hanging="0"/>
              <w:jc w:val="left"/>
              <w:rPr/>
            </w:pPr>
            <w:r>
              <w:rPr/>
              <w:t>USA PATRIOT ACT</w:t>
            </w:r>
          </w:p>
        </w:tc>
        <w:tc>
          <w:tcPr>
            <w:tcW w:w="500" w:type="dxa"/>
            <w:tcBorders/>
            <w:vAlign w:val="center"/>
          </w:tcPr>
          <w:p>
            <w:pPr>
              <w:pStyle w:val="TableContents"/>
              <w:bidi w:val="0"/>
              <w:spacing w:before="0" w:after="283"/>
              <w:ind w:left="0" w:right="0" w:hanging="0"/>
              <w:jc w:val="right"/>
              <w:rPr/>
            </w:pPr>
            <w:r>
              <w:rPr/>
              <w:t>109</w:t>
            </w:r>
          </w:p>
        </w:tc>
      </w:tr>
      <w:tr>
        <w:trPr/>
        <w:tc>
          <w:tcPr>
            <w:tcW w:w="1730" w:type="dxa"/>
            <w:tcBorders/>
            <w:vAlign w:val="center"/>
          </w:tcPr>
          <w:p>
            <w:pPr>
              <w:pStyle w:val="TableContents"/>
              <w:bidi w:val="0"/>
              <w:spacing w:before="0" w:after="283"/>
              <w:ind w:left="0" w:right="0" w:hanging="0"/>
              <w:jc w:val="left"/>
              <w:rPr>
                <w:b/>
              </w:rPr>
            </w:pPr>
            <w:r>
              <w:rPr>
                <w:b/>
              </w:rPr>
              <w:t>SECTION 10.15</w:t>
            </w:r>
          </w:p>
        </w:tc>
        <w:tc>
          <w:tcPr>
            <w:tcW w:w="7670" w:type="dxa"/>
            <w:tcBorders/>
            <w:vAlign w:val="center"/>
          </w:tcPr>
          <w:p>
            <w:pPr>
              <w:pStyle w:val="TableContents"/>
              <w:bidi w:val="0"/>
              <w:spacing w:before="0" w:after="283"/>
              <w:ind w:left="0" w:right="0" w:hanging="0"/>
              <w:jc w:val="left"/>
              <w:rPr/>
            </w:pPr>
            <w:r>
              <w:rPr/>
              <w:t>Releases of Liens</w:t>
            </w:r>
          </w:p>
        </w:tc>
        <w:tc>
          <w:tcPr>
            <w:tcW w:w="500" w:type="dxa"/>
            <w:tcBorders/>
            <w:vAlign w:val="center"/>
          </w:tcPr>
          <w:p>
            <w:pPr>
              <w:pStyle w:val="TableContents"/>
              <w:bidi w:val="0"/>
              <w:spacing w:before="0" w:after="283"/>
              <w:ind w:left="0" w:right="0" w:hanging="0"/>
              <w:jc w:val="right"/>
              <w:rPr/>
            </w:pPr>
            <w:r>
              <w:rPr/>
              <w:t>110</w:t>
            </w:r>
          </w:p>
        </w:tc>
      </w:tr>
      <w:tr>
        <w:trPr/>
        <w:tc>
          <w:tcPr>
            <w:tcW w:w="1730" w:type="dxa"/>
            <w:tcBorders/>
            <w:vAlign w:val="center"/>
          </w:tcPr>
          <w:p>
            <w:pPr>
              <w:pStyle w:val="TableContents"/>
              <w:bidi w:val="0"/>
              <w:spacing w:before="0" w:after="283"/>
              <w:ind w:left="0" w:right="0" w:hanging="0"/>
              <w:jc w:val="left"/>
              <w:rPr>
                <w:b/>
              </w:rPr>
            </w:pPr>
            <w:r>
              <w:rPr>
                <w:b/>
              </w:rPr>
              <w:t>SECTION 10.16</w:t>
            </w:r>
          </w:p>
        </w:tc>
        <w:tc>
          <w:tcPr>
            <w:tcW w:w="7670" w:type="dxa"/>
            <w:tcBorders/>
            <w:vAlign w:val="center"/>
          </w:tcPr>
          <w:p>
            <w:pPr>
              <w:pStyle w:val="TableContents"/>
              <w:bidi w:val="0"/>
              <w:spacing w:before="0" w:after="283"/>
              <w:ind w:left="0" w:right="0" w:hanging="0"/>
              <w:jc w:val="left"/>
              <w:rPr/>
            </w:pPr>
            <w:r>
              <w:rPr/>
              <w:t>Acknowledgement and Consent to Bail-In of Affected Financial Institutions</w:t>
            </w:r>
          </w:p>
        </w:tc>
        <w:tc>
          <w:tcPr>
            <w:tcW w:w="500" w:type="dxa"/>
            <w:tcBorders/>
            <w:vAlign w:val="center"/>
          </w:tcPr>
          <w:p>
            <w:pPr>
              <w:pStyle w:val="TableContents"/>
              <w:bidi w:val="0"/>
              <w:spacing w:before="0" w:after="283"/>
              <w:ind w:left="0" w:right="0" w:hanging="0"/>
              <w:jc w:val="right"/>
              <w:rPr/>
            </w:pPr>
            <w:r>
              <w:rPr/>
              <w:t>110</w:t>
            </w:r>
          </w:p>
        </w:tc>
      </w:tr>
      <w:tr>
        <w:trPr/>
        <w:tc>
          <w:tcPr>
            <w:tcW w:w="1730" w:type="dxa"/>
            <w:tcBorders/>
            <w:vAlign w:val="center"/>
          </w:tcPr>
          <w:p>
            <w:pPr>
              <w:pStyle w:val="TableContents"/>
              <w:bidi w:val="0"/>
              <w:spacing w:before="0" w:after="283"/>
              <w:ind w:left="0" w:right="0" w:hanging="0"/>
              <w:jc w:val="left"/>
              <w:rPr>
                <w:b/>
              </w:rPr>
            </w:pPr>
            <w:r>
              <w:rPr>
                <w:b/>
              </w:rPr>
              <w:t>SECTION 10.17</w:t>
            </w:r>
          </w:p>
        </w:tc>
        <w:tc>
          <w:tcPr>
            <w:tcW w:w="7670" w:type="dxa"/>
            <w:tcBorders/>
            <w:vAlign w:val="center"/>
          </w:tcPr>
          <w:p>
            <w:pPr>
              <w:pStyle w:val="TableContents"/>
              <w:bidi w:val="0"/>
              <w:spacing w:before="0" w:after="283"/>
              <w:ind w:left="0" w:right="0" w:hanging="0"/>
              <w:jc w:val="left"/>
              <w:rPr/>
            </w:pPr>
            <w:r>
              <w:rPr/>
              <w:t>Acknowledgement Regarding Any Supported QFCs</w:t>
            </w:r>
          </w:p>
        </w:tc>
        <w:tc>
          <w:tcPr>
            <w:tcW w:w="500" w:type="dxa"/>
            <w:tcBorders/>
            <w:vAlign w:val="center"/>
          </w:tcPr>
          <w:p>
            <w:pPr>
              <w:pStyle w:val="TableContents"/>
              <w:bidi w:val="0"/>
              <w:spacing w:before="0" w:after="283"/>
              <w:ind w:left="0" w:right="0" w:hanging="0"/>
              <w:jc w:val="right"/>
              <w:rPr/>
            </w:pPr>
            <w:r>
              <w:rPr/>
              <w:t>110</w:t>
            </w:r>
          </w:p>
        </w:tc>
      </w:tr>
      <w:tr>
        <w:trPr/>
        <w:tc>
          <w:tcPr>
            <w:tcW w:w="1730" w:type="dxa"/>
            <w:tcBorders/>
            <w:vAlign w:val="center"/>
          </w:tcPr>
          <w:p>
            <w:pPr>
              <w:pStyle w:val="TableContents"/>
              <w:bidi w:val="0"/>
              <w:spacing w:before="0" w:after="283"/>
              <w:ind w:left="0" w:right="0" w:hanging="0"/>
              <w:jc w:val="left"/>
              <w:rPr>
                <w:b/>
              </w:rPr>
            </w:pPr>
            <w:r>
              <w:rPr>
                <w:b/>
              </w:rPr>
              <w:t>SECTION 10.18</w:t>
            </w:r>
          </w:p>
        </w:tc>
        <w:tc>
          <w:tcPr>
            <w:tcW w:w="7670" w:type="dxa"/>
            <w:tcBorders/>
            <w:vAlign w:val="center"/>
          </w:tcPr>
          <w:p>
            <w:pPr>
              <w:pStyle w:val="TableContents"/>
              <w:bidi w:val="0"/>
              <w:spacing w:before="0" w:after="283"/>
              <w:ind w:left="0" w:right="0" w:hanging="0"/>
              <w:jc w:val="left"/>
              <w:rPr/>
            </w:pPr>
            <w:r>
              <w:rPr/>
              <w:t>No Novation</w:t>
            </w:r>
          </w:p>
        </w:tc>
        <w:tc>
          <w:tcPr>
            <w:tcW w:w="500" w:type="dxa"/>
            <w:tcBorders/>
            <w:vAlign w:val="center"/>
          </w:tcPr>
          <w:p>
            <w:pPr>
              <w:pStyle w:val="TableContents"/>
              <w:bidi w:val="0"/>
              <w:spacing w:before="0" w:after="283"/>
              <w:ind w:left="0" w:right="0" w:hanging="0"/>
              <w:jc w:val="right"/>
              <w:rPr/>
            </w:pPr>
            <w:r>
              <w:rPr/>
              <w:t>111</w:t>
            </w:r>
          </w:p>
        </w:tc>
      </w:tr>
      <w:tr>
        <w:trPr/>
        <w:tc>
          <w:tcPr>
            <w:tcW w:w="1730" w:type="dxa"/>
            <w:tcBorders/>
            <w:vAlign w:val="center"/>
          </w:tcPr>
          <w:p>
            <w:pPr>
              <w:pStyle w:val="TableContents"/>
              <w:bidi w:val="0"/>
              <w:spacing w:before="0" w:after="283"/>
              <w:ind w:left="0" w:right="0" w:hanging="0"/>
              <w:jc w:val="left"/>
              <w:rPr>
                <w:b/>
              </w:rPr>
            </w:pPr>
            <w:r>
              <w:rPr>
                <w:b/>
              </w:rPr>
              <w:t>SECTION 10.19</w:t>
            </w:r>
          </w:p>
        </w:tc>
        <w:tc>
          <w:tcPr>
            <w:tcW w:w="7670" w:type="dxa"/>
            <w:tcBorders/>
            <w:vAlign w:val="center"/>
          </w:tcPr>
          <w:p>
            <w:pPr>
              <w:pStyle w:val="TableContents"/>
              <w:bidi w:val="0"/>
              <w:spacing w:before="0" w:after="283"/>
              <w:ind w:left="0" w:right="0" w:hanging="0"/>
              <w:jc w:val="left"/>
              <w:rPr/>
            </w:pPr>
            <w:r>
              <w:rPr/>
              <w:t>No Advisory or Fiduciary Responsibility</w:t>
            </w:r>
          </w:p>
        </w:tc>
        <w:tc>
          <w:tcPr>
            <w:tcW w:w="500" w:type="dxa"/>
            <w:tcBorders/>
            <w:vAlign w:val="center"/>
          </w:tcPr>
          <w:p>
            <w:pPr>
              <w:pStyle w:val="TableContents"/>
              <w:bidi w:val="0"/>
              <w:spacing w:before="0" w:after="283"/>
              <w:ind w:left="0" w:right="0" w:hanging="0"/>
              <w:jc w:val="right"/>
              <w:rPr/>
            </w:pPr>
            <w:r>
              <w:rPr/>
              <w:t>111</w:t>
            </w:r>
          </w:p>
        </w:tc>
      </w:tr>
      <w:tr>
        <w:trPr/>
        <w:tc>
          <w:tcPr>
            <w:tcW w:w="1730" w:type="dxa"/>
            <w:tcBorders/>
            <w:vAlign w:val="center"/>
          </w:tcPr>
          <w:p>
            <w:pPr>
              <w:pStyle w:val="TableContents"/>
              <w:bidi w:val="0"/>
              <w:spacing w:before="0" w:after="283"/>
              <w:ind w:left="0" w:right="0" w:hanging="0"/>
              <w:jc w:val="left"/>
              <w:rPr>
                <w:b/>
              </w:rPr>
            </w:pPr>
            <w:r>
              <w:rPr>
                <w:b/>
              </w:rPr>
              <w:t>SECTION 10.20</w:t>
            </w:r>
          </w:p>
        </w:tc>
        <w:tc>
          <w:tcPr>
            <w:tcW w:w="7670" w:type="dxa"/>
            <w:tcBorders/>
            <w:vAlign w:val="center"/>
          </w:tcPr>
          <w:p>
            <w:pPr>
              <w:pStyle w:val="TableContents"/>
              <w:bidi w:val="0"/>
              <w:spacing w:before="0" w:after="283"/>
              <w:ind w:left="0" w:right="0" w:hanging="0"/>
              <w:jc w:val="left"/>
              <w:rPr/>
            </w:pPr>
            <w:r>
              <w:rPr/>
              <w:t>Interest Rate Limitation</w:t>
            </w:r>
          </w:p>
        </w:tc>
        <w:tc>
          <w:tcPr>
            <w:tcW w:w="500" w:type="dxa"/>
            <w:tcBorders/>
            <w:vAlign w:val="center"/>
          </w:tcPr>
          <w:p>
            <w:pPr>
              <w:pStyle w:val="TableContents"/>
              <w:bidi w:val="0"/>
              <w:spacing w:before="0" w:after="283"/>
              <w:ind w:left="0" w:right="0" w:hanging="0"/>
              <w:jc w:val="right"/>
              <w:rPr/>
            </w:pPr>
            <w:r>
              <w:rPr/>
              <w:t>112</w:t>
            </w:r>
          </w:p>
        </w:tc>
      </w:tr>
      <w:tr>
        <w:trPr/>
        <w:tc>
          <w:tcPr>
            <w:tcW w:w="1730" w:type="dxa"/>
            <w:tcBorders/>
            <w:vAlign w:val="center"/>
          </w:tcPr>
          <w:p>
            <w:pPr>
              <w:pStyle w:val="TableContents"/>
              <w:bidi w:val="0"/>
              <w:spacing w:before="0" w:after="283"/>
              <w:ind w:left="0" w:right="0" w:hanging="0"/>
              <w:jc w:val="left"/>
              <w:rPr>
                <w:b/>
              </w:rPr>
            </w:pPr>
            <w:r>
              <w:rPr>
                <w:b/>
              </w:rPr>
              <w:t>SECTION 10.21</w:t>
            </w:r>
          </w:p>
        </w:tc>
        <w:tc>
          <w:tcPr>
            <w:tcW w:w="7670" w:type="dxa"/>
            <w:tcBorders/>
            <w:vAlign w:val="center"/>
          </w:tcPr>
          <w:p>
            <w:pPr>
              <w:pStyle w:val="TableContents"/>
              <w:bidi w:val="0"/>
              <w:spacing w:before="0" w:after="283"/>
              <w:ind w:left="0" w:right="0" w:hanging="0"/>
              <w:jc w:val="left"/>
              <w:rPr/>
            </w:pPr>
            <w:r>
              <w:rPr/>
              <w:t>Payments Set Aside</w:t>
            </w:r>
          </w:p>
        </w:tc>
        <w:tc>
          <w:tcPr>
            <w:tcW w:w="500" w:type="dxa"/>
            <w:tcBorders/>
            <w:vAlign w:val="center"/>
          </w:tcPr>
          <w:p>
            <w:pPr>
              <w:pStyle w:val="TableContents"/>
              <w:bidi w:val="0"/>
              <w:spacing w:before="0" w:after="283"/>
              <w:jc w:val="right"/>
              <w:rPr/>
            </w:pPr>
            <w:r>
              <w:rPr/>
              <w:t>112</w:t>
            </w:r>
          </w:p>
        </w:tc>
      </w:tr>
    </w:tbl>
    <w:p>
      <w:pPr>
        <w:pStyle w:val="TextBody"/>
        <w:bidi w:val="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60"/>
        <w:gridCol w:w="95"/>
        <w:gridCol w:w="2435"/>
      </w:tblGrid>
      <w:tr>
        <w:trPr/>
        <w:tc>
          <w:tcPr>
            <w:tcW w:w="2060" w:type="dxa"/>
            <w:tcBorders/>
            <w:vAlign w:val="center"/>
          </w:tcPr>
          <w:p>
            <w:pPr>
              <w:pStyle w:val="TableContents"/>
              <w:bidi w:val="0"/>
              <w:spacing w:before="0" w:after="283"/>
              <w:jc w:val="left"/>
              <w:rPr/>
            </w:pPr>
            <w:r>
              <w:rPr/>
              <w:t>SCHEDULE 1.01</w:t>
            </w:r>
          </w:p>
        </w:tc>
        <w:tc>
          <w:tcPr>
            <w:tcW w:w="95"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pPr>
            <w:r>
              <w:rPr/>
              <w:t>Commitments</w:t>
            </w:r>
          </w:p>
        </w:tc>
      </w:tr>
      <w:tr>
        <w:trPr/>
        <w:tc>
          <w:tcPr>
            <w:tcW w:w="2060" w:type="dxa"/>
            <w:tcBorders/>
            <w:vAlign w:val="center"/>
          </w:tcPr>
          <w:p>
            <w:pPr>
              <w:pStyle w:val="TableContents"/>
              <w:bidi w:val="0"/>
              <w:spacing w:before="0" w:after="283"/>
              <w:jc w:val="left"/>
              <w:rPr/>
            </w:pPr>
            <w:r>
              <w:rPr/>
              <w:t>SCHEDULE 4.13</w:t>
            </w:r>
          </w:p>
        </w:tc>
        <w:tc>
          <w:tcPr>
            <w:tcW w:w="95"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pPr>
            <w:r>
              <w:rPr/>
              <w:t>Burdensome Agreements</w:t>
            </w:r>
          </w:p>
        </w:tc>
      </w:tr>
      <w:tr>
        <w:trPr/>
        <w:tc>
          <w:tcPr>
            <w:tcW w:w="2060" w:type="dxa"/>
            <w:tcBorders/>
            <w:vAlign w:val="center"/>
          </w:tcPr>
          <w:p>
            <w:pPr>
              <w:pStyle w:val="TableContents"/>
              <w:bidi w:val="0"/>
              <w:spacing w:before="0" w:after="283"/>
              <w:jc w:val="left"/>
              <w:rPr/>
            </w:pPr>
            <w:r>
              <w:rPr/>
              <w:t>SCHEDULE 4.14</w:t>
            </w:r>
          </w:p>
        </w:tc>
        <w:tc>
          <w:tcPr>
            <w:tcW w:w="95"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pPr>
            <w:r>
              <w:rPr/>
              <w:t>Labor Matters</w:t>
            </w:r>
          </w:p>
        </w:tc>
      </w:tr>
      <w:tr>
        <w:trPr/>
        <w:tc>
          <w:tcPr>
            <w:tcW w:w="2060" w:type="dxa"/>
            <w:tcBorders/>
            <w:vAlign w:val="center"/>
          </w:tcPr>
          <w:p>
            <w:pPr>
              <w:pStyle w:val="TableContents"/>
              <w:bidi w:val="0"/>
              <w:spacing w:before="0" w:after="283"/>
              <w:jc w:val="left"/>
              <w:rPr/>
            </w:pPr>
            <w:r>
              <w:rPr/>
              <w:t>SCHEDULE 4.15(a)</w:t>
            </w:r>
          </w:p>
        </w:tc>
        <w:tc>
          <w:tcPr>
            <w:tcW w:w="95"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pPr>
            <w:r>
              <w:rPr/>
              <w:t>UCC Filing Jurisdictions</w:t>
            </w:r>
          </w:p>
        </w:tc>
      </w:tr>
    </w:tbl>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760" w:type="dxa"/>
        <w:jc w:val="left"/>
        <w:tblInd w:w="0" w:type="dxa"/>
        <w:tblLayout w:type="fixed"/>
        <w:tblCellMar>
          <w:top w:w="0" w:type="dxa"/>
          <w:left w:w="0" w:type="dxa"/>
          <w:bottom w:w="0" w:type="dxa"/>
          <w:right w:w="0" w:type="dxa"/>
        </w:tblCellMar>
      </w:tblPr>
      <w:tblGrid>
        <w:gridCol w:w="2075"/>
        <w:gridCol w:w="95"/>
        <w:gridCol w:w="3590"/>
      </w:tblGrid>
      <w:tr>
        <w:trPr/>
        <w:tc>
          <w:tcPr>
            <w:tcW w:w="20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right"/>
              <w:rPr>
                <w:u w:val="single"/>
              </w:rPr>
            </w:pPr>
            <w:r>
              <w:rPr>
                <w:u w:val="single"/>
              </w:rPr>
              <w:t>Page</w:t>
            </w:r>
          </w:p>
        </w:tc>
      </w:tr>
      <w:tr>
        <w:trPr/>
        <w:tc>
          <w:tcPr>
            <w:tcW w:w="20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right"/>
              <w:rPr/>
            </w:pPr>
            <w:r>
              <w:rPr/>
              <w:t> </w:t>
            </w:r>
          </w:p>
        </w:tc>
      </w:tr>
      <w:tr>
        <w:trPr/>
        <w:tc>
          <w:tcPr>
            <w:tcW w:w="2075" w:type="dxa"/>
            <w:tcBorders/>
            <w:vAlign w:val="center"/>
          </w:tcPr>
          <w:p>
            <w:pPr>
              <w:pStyle w:val="TableContents"/>
              <w:bidi w:val="0"/>
              <w:spacing w:before="0" w:after="283"/>
              <w:jc w:val="left"/>
              <w:rPr/>
            </w:pPr>
            <w:r>
              <w:rPr/>
              <w:t>SCHEDULE 4.16</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Subsidiaries</w:t>
            </w:r>
          </w:p>
        </w:tc>
      </w:tr>
      <w:tr>
        <w:trPr/>
        <w:tc>
          <w:tcPr>
            <w:tcW w:w="2075" w:type="dxa"/>
            <w:tcBorders/>
            <w:vAlign w:val="center"/>
          </w:tcPr>
          <w:p>
            <w:pPr>
              <w:pStyle w:val="TableContents"/>
              <w:bidi w:val="0"/>
              <w:spacing w:before="0" w:after="283"/>
              <w:jc w:val="left"/>
              <w:rPr/>
            </w:pPr>
            <w:r>
              <w:rPr/>
              <w:t>SCHEDULE 7.01(a)</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Existing Indebtedness</w:t>
            </w:r>
          </w:p>
        </w:tc>
      </w:tr>
      <w:tr>
        <w:trPr/>
        <w:tc>
          <w:tcPr>
            <w:tcW w:w="2075" w:type="dxa"/>
            <w:tcBorders/>
            <w:vAlign w:val="center"/>
          </w:tcPr>
          <w:p>
            <w:pPr>
              <w:pStyle w:val="TableContents"/>
              <w:bidi w:val="0"/>
              <w:spacing w:before="0" w:after="283"/>
              <w:jc w:val="left"/>
              <w:rPr/>
            </w:pPr>
            <w:r>
              <w:rPr/>
              <w:t>SCHEDULE 7.01(b)</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Existing Guarantees</w:t>
            </w:r>
          </w:p>
        </w:tc>
      </w:tr>
      <w:tr>
        <w:trPr/>
        <w:tc>
          <w:tcPr>
            <w:tcW w:w="2075" w:type="dxa"/>
            <w:tcBorders/>
            <w:vAlign w:val="center"/>
          </w:tcPr>
          <w:p>
            <w:pPr>
              <w:pStyle w:val="TableContents"/>
              <w:bidi w:val="0"/>
              <w:spacing w:before="0" w:after="283"/>
              <w:jc w:val="left"/>
              <w:rPr/>
            </w:pPr>
            <w:r>
              <w:rPr/>
              <w:t>SCHEDULE 7.02</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Existing Liens</w:t>
            </w:r>
          </w:p>
        </w:tc>
      </w:tr>
      <w:tr>
        <w:trPr/>
        <w:tc>
          <w:tcPr>
            <w:tcW w:w="2075" w:type="dxa"/>
            <w:tcBorders/>
            <w:vAlign w:val="center"/>
          </w:tcPr>
          <w:p>
            <w:pPr>
              <w:pStyle w:val="TableContents"/>
              <w:bidi w:val="0"/>
              <w:spacing w:before="0" w:after="283"/>
              <w:jc w:val="left"/>
              <w:rPr/>
            </w:pPr>
            <w:r>
              <w:rPr/>
              <w:t>SCHEDULE 7.06</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Existing Investments</w:t>
            </w:r>
          </w:p>
        </w:tc>
      </w:tr>
      <w:tr>
        <w:trPr/>
        <w:tc>
          <w:tcPr>
            <w:tcW w:w="2075" w:type="dxa"/>
            <w:tcBorders/>
            <w:vAlign w:val="center"/>
          </w:tcPr>
          <w:p>
            <w:pPr>
              <w:pStyle w:val="TableContents"/>
              <w:bidi w:val="0"/>
              <w:spacing w:before="0" w:after="283"/>
              <w:jc w:val="left"/>
              <w:rPr/>
            </w:pPr>
            <w:r>
              <w:rPr/>
              <w:t>SCHEDULE 7.09</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Restrictive Agreements</w:t>
            </w:r>
          </w:p>
        </w:tc>
      </w:tr>
      <w:tr>
        <w:trPr/>
        <w:tc>
          <w:tcPr>
            <w:tcW w:w="2075" w:type="dxa"/>
            <w:tcBorders/>
            <w:vAlign w:val="center"/>
          </w:tcPr>
          <w:p>
            <w:pPr>
              <w:pStyle w:val="TableContents"/>
              <w:bidi w:val="0"/>
              <w:spacing w:before="0" w:after="283"/>
              <w:jc w:val="left"/>
              <w:rPr/>
            </w:pPr>
            <w:r>
              <w:rPr/>
              <w:t>SCHEDULE 10.01</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Addresses for Notice</w:t>
            </w:r>
          </w:p>
        </w:tc>
      </w:tr>
      <w:tr>
        <w:trPr/>
        <w:tc>
          <w:tcPr>
            <w:tcW w:w="20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EXHIBIT A</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Form of Assignment and Assumption</w:t>
            </w:r>
          </w:p>
        </w:tc>
      </w:tr>
      <w:tr>
        <w:trPr/>
        <w:tc>
          <w:tcPr>
            <w:tcW w:w="2075" w:type="dxa"/>
            <w:tcBorders/>
            <w:vAlign w:val="center"/>
          </w:tcPr>
          <w:p>
            <w:pPr>
              <w:pStyle w:val="TableContents"/>
              <w:bidi w:val="0"/>
              <w:spacing w:before="0" w:after="283"/>
              <w:jc w:val="left"/>
              <w:rPr/>
            </w:pPr>
            <w:r>
              <w:rPr/>
              <w:t>EXHIBIT B</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[Reserved]</w:t>
            </w:r>
          </w:p>
        </w:tc>
      </w:tr>
      <w:tr>
        <w:trPr/>
        <w:tc>
          <w:tcPr>
            <w:tcW w:w="2075" w:type="dxa"/>
            <w:tcBorders/>
            <w:vAlign w:val="center"/>
          </w:tcPr>
          <w:p>
            <w:pPr>
              <w:pStyle w:val="TableContents"/>
              <w:bidi w:val="0"/>
              <w:spacing w:before="0" w:after="283"/>
              <w:jc w:val="left"/>
              <w:rPr/>
            </w:pPr>
            <w:r>
              <w:rPr/>
              <w:t>EXHIBIT C</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[Reserved]</w:t>
            </w:r>
          </w:p>
        </w:tc>
      </w:tr>
      <w:tr>
        <w:trPr/>
        <w:tc>
          <w:tcPr>
            <w:tcW w:w="2075" w:type="dxa"/>
            <w:tcBorders/>
            <w:vAlign w:val="center"/>
          </w:tcPr>
          <w:p>
            <w:pPr>
              <w:pStyle w:val="TableContents"/>
              <w:bidi w:val="0"/>
              <w:spacing w:before="0" w:after="283"/>
              <w:jc w:val="left"/>
              <w:rPr/>
            </w:pPr>
            <w:r>
              <w:rPr/>
              <w:t>EXHIBIT D</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Form of U.S. Tax Certificate</w:t>
            </w:r>
          </w:p>
        </w:tc>
      </w:tr>
      <w:tr>
        <w:trPr/>
        <w:tc>
          <w:tcPr>
            <w:tcW w:w="2075" w:type="dxa"/>
            <w:tcBorders/>
            <w:vAlign w:val="center"/>
          </w:tcPr>
          <w:p>
            <w:pPr>
              <w:pStyle w:val="TableContents"/>
              <w:bidi w:val="0"/>
              <w:spacing w:before="0" w:after="283"/>
              <w:jc w:val="left"/>
              <w:rPr/>
            </w:pPr>
            <w:r>
              <w:rPr/>
              <w:t>EXHIBIT E</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[Reserved]</w:t>
            </w:r>
          </w:p>
        </w:tc>
      </w:tr>
      <w:tr>
        <w:trPr/>
        <w:tc>
          <w:tcPr>
            <w:tcW w:w="2075" w:type="dxa"/>
            <w:tcBorders/>
            <w:vAlign w:val="center"/>
          </w:tcPr>
          <w:p>
            <w:pPr>
              <w:pStyle w:val="TableContents"/>
              <w:bidi w:val="0"/>
              <w:spacing w:before="0" w:after="283"/>
              <w:jc w:val="left"/>
              <w:rPr/>
            </w:pPr>
            <w:r>
              <w:rPr/>
              <w:t>EXHIBIT F</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Form of Borrowing Request</w:t>
            </w:r>
          </w:p>
        </w:tc>
      </w:tr>
      <w:tr>
        <w:trPr/>
        <w:tc>
          <w:tcPr>
            <w:tcW w:w="2075" w:type="dxa"/>
            <w:tcBorders/>
            <w:vAlign w:val="center"/>
          </w:tcPr>
          <w:p>
            <w:pPr>
              <w:pStyle w:val="TableContents"/>
              <w:bidi w:val="0"/>
              <w:spacing w:before="0" w:after="283"/>
              <w:jc w:val="left"/>
              <w:rPr/>
            </w:pPr>
            <w:r>
              <w:rPr/>
              <w:t>EXHIBIT G</w:t>
            </w:r>
          </w:p>
        </w:tc>
        <w:tc>
          <w:tcPr>
            <w:tcW w:w="9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pPr>
            <w:r>
              <w:rPr/>
              <w:t>Form of Interest Election Request</w:t>
            </w:r>
          </w:p>
        </w:tc>
      </w:tr>
    </w:tbl>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AMENDED AND RESTATED CREDIT AGREEMENT, dated as of August 18, 2026, as amended, restated, amended and restated, supplemented or otherwise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GRIFFON CORPORATION,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parties to this Agreement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the Administrative Agent.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the Credit Agreement, dated as of March 18, 2011 (the “</w:t>
      </w:r>
      <w:r>
        <w:rPr>
          <w:rFonts w:ascii="Times New Roman;Times;Serif" w:hAnsi="Times New Roman;Times;Serif"/>
          <w:b w:val="false"/>
          <w:i w:val="false"/>
          <w:caps w:val="false"/>
          <w:smallCaps w:val="false"/>
          <w:sz w:val="20"/>
          <w:u w:val="single"/>
        </w:rPr>
        <w:t>Original Credit Agreement</w:t>
      </w:r>
      <w:r>
        <w:rPr>
          <w:rFonts w:ascii="Times New Roman;Times;Serif" w:hAnsi="Times New Roman;Times;Serif"/>
          <w:b w:val="false"/>
          <w:i w:val="false"/>
          <w:caps w:val="false"/>
          <w:smallCaps w:val="false"/>
          <w:sz w:val="20"/>
        </w:rPr>
        <w:t>”), with the lenders party thereto and JPMorgan Chase Bank, N.A., as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the Amended and Restated Credit Agreement, dated as of March 28, 2013 (as amended, supplemented or otherwise modified prior to the date of the Second Restated Credit Agreement (as defined below), the “</w:t>
      </w:r>
      <w:r>
        <w:rPr>
          <w:rFonts w:ascii="Times New Roman;Times;Serif" w:hAnsi="Times New Roman;Times;Serif"/>
          <w:b w:val="false"/>
          <w:i w:val="false"/>
          <w:caps w:val="false"/>
          <w:smallCaps w:val="false"/>
          <w:sz w:val="20"/>
          <w:u w:val="single"/>
        </w:rPr>
        <w:t>First Restated Credit Agreement</w:t>
      </w:r>
      <w:r>
        <w:rPr>
          <w:rFonts w:ascii="Times New Roman;Times;Serif" w:hAnsi="Times New Roman;Times;Serif"/>
          <w:b w:val="false"/>
          <w:i w:val="false"/>
          <w:caps w:val="false"/>
          <w:smallCaps w:val="false"/>
          <w:sz w:val="20"/>
        </w:rPr>
        <w:t>”), with the lenders party thereto and JPMorgan Chase Bank, N.A., as administrative agent, which amended and restated the Original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the Second Amended and Restated Credit Agreement, dated as of March 13, 2015 (as amended, supplemented or otherwise modified prior to the date of the Third Restated Credit Agreement (as defined below), the “</w:t>
      </w:r>
      <w:r>
        <w:rPr>
          <w:rFonts w:ascii="Times New Roman;Times;Serif" w:hAnsi="Times New Roman;Times;Serif"/>
          <w:b w:val="false"/>
          <w:i w:val="false"/>
          <w:caps w:val="false"/>
          <w:smallCaps w:val="false"/>
          <w:sz w:val="20"/>
          <w:u w:val="single"/>
        </w:rPr>
        <w:t>Second Restated Credit Agreement</w:t>
      </w:r>
      <w:r>
        <w:rPr>
          <w:rFonts w:ascii="Times New Roman;Times;Serif" w:hAnsi="Times New Roman;Times;Serif"/>
          <w:b w:val="false"/>
          <w:i w:val="false"/>
          <w:caps w:val="false"/>
          <w:smallCaps w:val="false"/>
          <w:sz w:val="20"/>
        </w:rPr>
        <w:t>”), with the lenders party thereto and JPMorgan Chase Bank, N.A., as administrative agent, which amended and restated the First Restated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the Third Amended and Restated Credit Agreement, dated as of March 22, 2016 (as amended, supplemented or otherwise modified prior to the date of the Fourth Restated Credit Agreement (as defined below), the “</w:t>
      </w:r>
      <w:r>
        <w:rPr>
          <w:rFonts w:ascii="Times New Roman;Times;Serif" w:hAnsi="Times New Roman;Times;Serif"/>
          <w:b w:val="false"/>
          <w:i w:val="false"/>
          <w:caps w:val="false"/>
          <w:smallCaps w:val="false"/>
          <w:sz w:val="20"/>
          <w:u w:val="single"/>
        </w:rPr>
        <w:t>Third Restated Credit Agreement</w:t>
      </w:r>
      <w:r>
        <w:rPr>
          <w:rFonts w:ascii="Times New Roman;Times;Serif" w:hAnsi="Times New Roman;Times;Serif"/>
          <w:b w:val="false"/>
          <w:i w:val="false"/>
          <w:caps w:val="false"/>
          <w:smallCaps w:val="false"/>
          <w:sz w:val="20"/>
        </w:rPr>
        <w:t>”), with the lenders party thereto and Bank of America, N.A., as administrative agent, which amended and restated the Second Restated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the Fourth Amended and Restated Credit Agreement, dated as of January 30, 2020 (as amended, supplemented or otherwise modified prior to the Fifth Restatement Effective Date (as defined below), the “</w:t>
      </w:r>
      <w:r>
        <w:rPr>
          <w:rFonts w:ascii="Times New Roman;Times;Serif" w:hAnsi="Times New Roman;Times;Serif"/>
          <w:b w:val="false"/>
          <w:i w:val="false"/>
          <w:caps w:val="false"/>
          <w:smallCaps w:val="false"/>
          <w:sz w:val="20"/>
          <w:u w:val="single"/>
        </w:rPr>
        <w:t>Fourth Restated Credit Agreement</w:t>
      </w:r>
      <w:r>
        <w:rPr>
          <w:rFonts w:ascii="Times New Roman;Times;Serif" w:hAnsi="Times New Roman;Times;Serif"/>
          <w:b w:val="false"/>
          <w:i w:val="false"/>
          <w:caps w:val="false"/>
          <w:smallCaps w:val="false"/>
          <w:sz w:val="20"/>
        </w:rPr>
        <w:t>”), with the lenders party thereto and Bank of America, N.A., as administrative agent, which amended and restated the Third Restated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a Fifth Amended and Restated Credit Agreement, dated as of January 24, 2022 (as amended, supplemented or otherwise modified prior to the Sixth Restatement Effective Date (as defined below), the “</w:t>
      </w:r>
      <w:r>
        <w:rPr>
          <w:rFonts w:ascii="Times New Roman;Times;Serif" w:hAnsi="Times New Roman;Times;Serif"/>
          <w:b w:val="false"/>
          <w:i w:val="false"/>
          <w:caps w:val="false"/>
          <w:smallCaps w:val="false"/>
          <w:sz w:val="20"/>
          <w:u w:val="single"/>
        </w:rPr>
        <w:t>Fifth Restated Credit Agreement</w:t>
      </w:r>
      <w:r>
        <w:rPr>
          <w:rFonts w:ascii="Times New Roman;Times;Serif" w:hAnsi="Times New Roman;Times;Serif"/>
          <w:b w:val="false"/>
          <w:i w:val="false"/>
          <w:caps w:val="false"/>
          <w:smallCaps w:val="false"/>
          <w:sz w:val="20"/>
        </w:rPr>
        <w:t>”), with the lenders party thereto and Bank of America, N.A., as administrative agent, which amended and restated the Fourth Restated Credit Agreement;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entered into this Agreement with the financial institutions from time to time party hereto and the Administrative Agent, which amended and restated the Fifth Restated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agreements, provisions and covenants herein contained, the parties hereto hereby agree as follows:</w:t>
      </w:r>
    </w:p>
    <w:p>
      <w:pPr>
        <w:pStyle w:val="TextBody"/>
        <w:bidi w:val="0"/>
        <w:ind w:left="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w:t>
        <w:tab/>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denominated in Dollars and bearing interest at a rate determined by reference to the Alternate Base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Net Income</w:t>
      </w:r>
      <w:r>
        <w:rPr>
          <w:rFonts w:ascii="Times New Roman;Times;Serif" w:hAnsi="Times New Roman;Times;Serif"/>
          <w:b w:val="false"/>
          <w:i w:val="false"/>
          <w:caps w:val="false"/>
          <w:smallCaps w:val="false"/>
          <w:sz w:val="20"/>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without duplication,</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after-tax effect of extraordinary gains or losses (less all fees and expenses relating thereto) for such period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cumulative effect of a change in accounting principles during such period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any after-tax effect of income (loss) attributable to discontinued operations for such period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once an operation becomes a discontinued operation it will remain so for all purposes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after-tax effect of gains or losses (less all fees and expenses relating thereto) attributable to asset dispositions other than in the ordinary course of business, as determined in good faith by the Borrower,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Net Income (but not loss) for such period of any Person that is not a Restricted Subsidiary, or is an “Unrestricted Subsidiary”, or that is accounted for by the equity method of accounting,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Adjusted Net Income of the Borrower shall be increased by the amount of dividends or distributions or other payments that are actually paid in cash (or to the extent converted into cash) to the referent Person or a Restricted Subsidiary thereof in respect of such period by such Person and shall be decreased by the amount of any actual net losses that have been funded with cash from the Borrower or a Restricted Subsidiary during such period,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Net Income (but not loss) for such period of any Restricted Subsidiary (other than any Subsidiary Guarantor) shall be excluded if the declaration or payment of dividends or similar distributions by that Restricted Subsidiary of its Net Income is not at the date of determination permitted,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Adjusted Net Income of the Borrower will be increased by the amount of dividends or other distributions or other payments actually paid in cash (or to the extent converted into cash) to the Borrower or a Restricted Subsidiary thereof in respect of such period, to the extent not already included therein,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effects of adjustments (including the effects of such adjustments pushed down to the Borrower and its Restricted Subsidiaries) for such period in the property and equipment, software and other intangible assets, deferred revenue and debt line items in such Person’s consolidated financial statements pursuant to GAAP resulting from the application of purchase accounting in relation to any consummated acquisition or the amortization or write-off of any amounts thereof, net of taxes,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impairment charge or asset write-off for such period, in each case, pursuant to GAAP and the amortization of intangibles for such period arising pursuant to GAAP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non-cash gains and losses for such period due solely to fluctuations in currency values in accordance with GAAP shall be excluded,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the amount of any write-off of deferred financing costs or of indebtedness issuance costs and the amount of charges related to any premium paid in connection with repurchasing or refinancing indebtedness, in each case for such period, shall be excluded and (b) all non-recurring expenses and charges relating to such repurchase or refinancing of indebtedness or relating to any incurrence of indebtedness for such period, in each case, whether or not such transaction is consummated, shall be excluded,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non-cash compensation charge or expense for such period, including such charge or expense arising from grants of stock options or restricted stock or other equity incentive programs for the benefit of officers, directors and employees of the Borrower or any Restricted Subsidiary of the Borrower shall be excluded.</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Bank of America, in its capacity as administrative agent for itself and the other Secured Parties, and any duly appointed successor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Account</w:t>
      </w:r>
      <w:r>
        <w:rPr>
          <w:rFonts w:ascii="Times New Roman;Times;Serif" w:hAnsi="Times New Roman;Times;Serif"/>
          <w:b w:val="false"/>
          <w:i w:val="false"/>
          <w:caps w:val="false"/>
          <w:smallCaps w:val="false"/>
          <w:sz w:val="20"/>
        </w:rPr>
        <w:t>” means, for each Currency, an account in respect of such Currency designated by the Administrative Agent in a notice to the Borrower and the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Available Revolving Commitments</w:t>
      </w:r>
      <w:r>
        <w:rPr>
          <w:rFonts w:ascii="Times New Roman;Times;Serif" w:hAnsi="Times New Roman;Times;Serif"/>
          <w:b w:val="false"/>
          <w:i w:val="false"/>
          <w:caps w:val="false"/>
          <w:smallCaps w:val="false"/>
          <w:sz w:val="20"/>
        </w:rPr>
        <w:t>” means, at any time, the aggregate amount of Available Revolving Commitments of all the Revolving Lenders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Foreign Currency Sublimit Dollar Amount</w:t>
      </w:r>
      <w:r>
        <w:rPr>
          <w:rFonts w:ascii="Times New Roman;Times;Serif" w:hAnsi="Times New Roman;Times;Serif"/>
          <w:b w:val="false"/>
          <w:i w:val="false"/>
          <w:caps w:val="false"/>
          <w:smallCaps w:val="false"/>
          <w:sz w:val="20"/>
        </w:rPr>
        <w:t>” means $200,000,000.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LC Exposure</w:t>
      </w:r>
      <w:r>
        <w:rPr>
          <w:rFonts w:ascii="Times New Roman;Times;Serif" w:hAnsi="Times New Roman;Times;Serif"/>
          <w:b w:val="false"/>
          <w:i w:val="false"/>
          <w:caps w:val="false"/>
          <w:smallCaps w:val="false"/>
          <w:sz w:val="20"/>
        </w:rPr>
        <w:t xml:space="preserve">” means, at any time, the sum of (a) the aggregate undrawn amount of all outstanding Letters of Credit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of all LC Disbursements that have not yet been reimbursed by or on behalf of the Borrower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Letter of Credit Sublimit Amount</w:t>
      </w:r>
      <w:r>
        <w:rPr>
          <w:rFonts w:ascii="Times New Roman;Times;Serif" w:hAnsi="Times New Roman;Times;Serif"/>
          <w:b w:val="false"/>
          <w:i w:val="false"/>
          <w:caps w:val="false"/>
          <w:smallCaps w:val="false"/>
          <w:sz w:val="20"/>
        </w:rPr>
        <w:t>” means $125,000,000.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Commitment</w:t>
      </w:r>
      <w:r>
        <w:rPr>
          <w:rFonts w:ascii="Times New Roman;Times;Serif" w:hAnsi="Times New Roman;Times;Serif"/>
          <w:b w:val="false"/>
          <w:i w:val="false"/>
          <w:caps w:val="false"/>
          <w:smallCaps w:val="false"/>
          <w:sz w:val="20"/>
        </w:rPr>
        <w:t>” means, at any time, the aggregate amount of the Revolving Commitments of all the Revolving Lenders at such time, as such amount is subject to reduction or increase in accordance with the terms hereof. The initial amount of the Aggregate Revolving Commitment is $500,000,000.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Credit Exposure</w:t>
      </w:r>
      <w:r>
        <w:rPr>
          <w:rFonts w:ascii="Times New Roman;Times;Serif" w:hAnsi="Times New Roman;Times;Serif"/>
          <w:b w:val="false"/>
          <w:i w:val="false"/>
          <w:caps w:val="false"/>
          <w:smallCaps w:val="false"/>
          <w:sz w:val="20"/>
        </w:rPr>
        <w:t xml:space="preserve">” means, at any time, the sum of (a) the aggregate outstanding principal amount of the Revolving Loans of all the Revolving Lenders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LC Exposure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Foreign Currency</w:t>
      </w:r>
      <w:r>
        <w:rPr>
          <w:rFonts w:ascii="Times New Roman;Times;Serif" w:hAnsi="Times New Roman;Times;Serif"/>
          <w:b w:val="false"/>
          <w:i w:val="false"/>
          <w:caps w:val="false"/>
          <w:smallCaps w:val="false"/>
          <w:sz w:val="20"/>
        </w:rPr>
        <w:t>” means, at any time, any of English Pounds Sterling, euro and, with the agreement of each Revolving Lender, any other Foreign Currency, so long as, in respect of any such specified Currency or other Foreign Currency, at such time (a) such Currency is dealt with in the international interbank market available to lenders in such market, (b) such Currency is freely transferable and convertible into Dollars in the London foreign exchange market and (c) no central bank or other governmental authorization in the country of issue of such Currency (including, in the case of the euro, any authorization by the European Central Bank) is required to permit use of such Currency by any Revolving Lender for making any Revolving Loan hereunder and/or to permit the Borrower to borrow and repay the principal thereof and to pay the interest thereon, unless such authorization has been obtained and is in full force and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rate of interest in effect for such day as publicly announced from time to time by Bank of America as its “prime rate”, (b) the Federal Funds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0.50% and (c) the Term SOFR that would be calculated as of such day (or, if such day is not a Business Day, as of the next preceding Business Day) in respect of a proposed Term SOFR Loan with a one-month Interest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Alternate Base Rate as so determined would be less than 1.00%, such rate shall be deemed to be 1.00%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Alternate Base Rate is being used as an alternate rate of interest pursuant to Section 2.14 hereof, then the Alternate Base Rate shall be the greater of clauses (a) and (b) above and shall be determined without reference to clause (c) above.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when used in reference to any Revolving Loan or Revolving Borrowing, refers to whether such Revolving Loan, or the Revolving Loans comprising such Revolving Borrowing, are bearing interest at a rate determined by reference to the Alternative Currency Daily Rate or the Alternative Currency Term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Daily Rate</w:t>
      </w:r>
      <w:r>
        <w:rPr>
          <w:rFonts w:ascii="Times New Roman;Times;Serif" w:hAnsi="Times New Roman;Times;Serif"/>
          <w:b w:val="false"/>
          <w:i w:val="false"/>
          <w:caps w:val="false"/>
          <w:smallCaps w:val="false"/>
          <w:sz w:val="20"/>
        </w:rPr>
        <w:t>” means, for any day, with respect to any Revolving Borrowing: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denominated in English Pounds Sterling, the rate per annum equal to SONIA determined pursuant to the definition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SONIA Adjustment;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denominated in any other Agreed Foreign Currency (to the extent such Revolving Loans denominated in such Currency will bear interest at a daily rate), the daily rate per annum as designated with respect to such Agreed Foreign Currency at the time such Agreed Foreign Currency is approved by the Administrative Agent and the relevant Revolving Lenders pursuant to Section 1.06 plus the adjustment, if any, determined by the Administrative Agent and the relevant Revolving Lenders and agreed by the Borrower pursuant to Section 1.06;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Daily Rate Loan</w:t>
      </w:r>
      <w:r>
        <w:rPr>
          <w:rFonts w:ascii="Times New Roman;Times;Serif" w:hAnsi="Times New Roman;Times;Serif"/>
          <w:b w:val="false"/>
          <w:i w:val="false"/>
          <w:caps w:val="false"/>
          <w:smallCaps w:val="false"/>
          <w:sz w:val="20"/>
        </w:rPr>
        <w:t>” means a Revolving Loan that bears interest at a rate based on the definition of “Alternative Currency Daily Rate.” All Alternative Currency Daily Rate Loans must be denominated in an Agreed Foreign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Loan</w:t>
      </w:r>
      <w:r>
        <w:rPr>
          <w:rFonts w:ascii="Times New Roman;Times;Serif" w:hAnsi="Times New Roman;Times;Serif"/>
          <w:b w:val="false"/>
          <w:i w:val="false"/>
          <w:caps w:val="false"/>
          <w:smallCaps w:val="false"/>
          <w:sz w:val="20"/>
        </w:rPr>
        <w:t>” means an Alternative Currency Daily Rate Loan or an Alternative Currency Term Rate Loan,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Term Rate</w:t>
      </w:r>
      <w:r>
        <w:rPr>
          <w:rFonts w:ascii="Times New Roman;Times;Serif" w:hAnsi="Times New Roman;Times;Serif"/>
          <w:b w:val="false"/>
          <w:i w:val="false"/>
          <w:caps w:val="false"/>
          <w:smallCaps w:val="false"/>
          <w:sz w:val="20"/>
        </w:rPr>
        <w:t>” means, for any Interest Period, with respect to any Revolving Borrowing: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denominated in euro, the rate per annum equal to the Euro Interbank Offered Rate (“</w:t>
      </w:r>
      <w:r>
        <w:rPr>
          <w:rFonts w:ascii="Times New Roman;Times;Serif" w:hAnsi="Times New Roman;Times;Serif"/>
          <w:b w:val="false"/>
          <w:i w:val="false"/>
          <w:caps w:val="false"/>
          <w:smallCaps w:val="false"/>
          <w:sz w:val="20"/>
          <w:u w:val="single"/>
        </w:rPr>
        <w:t>EURIBOR</w:t>
      </w:r>
      <w:r>
        <w:rPr>
          <w:rFonts w:ascii="Times New Roman;Times;Serif" w:hAnsi="Times New Roman;Times;Serif"/>
          <w:b w:val="false"/>
          <w:i w:val="false"/>
          <w:caps w:val="false"/>
          <w:smallCaps w:val="false"/>
          <w:sz w:val="20"/>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t>denominated in any other Agreed Foreign Currency (to the extent such Revolving Loans denominated in such Currency will bear interest at a term rate), the term rate per annum as designated with respect to such Agreed Foreign Currency at the time such Agreed Foreign Currency is approved by the Administrative Agent and the relevant Revolving Lenders pursuant to Section 1.06 plus the adjustment (if any) determined by the Administrative Agent and the relevant Lenders and agreed by the Borrower pursuant to Section 1.06;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Alternative Currency Term Rate shall be less than zero, such rate shall be deemed zero for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Term Rate Loan</w:t>
      </w:r>
      <w:r>
        <w:rPr>
          <w:rFonts w:ascii="Times New Roman;Times;Serif" w:hAnsi="Times New Roman;Times;Serif"/>
          <w:b w:val="false"/>
          <w:i w:val="false"/>
          <w:caps w:val="false"/>
          <w:smallCaps w:val="false"/>
          <w:sz w:val="20"/>
        </w:rPr>
        <w:t>” means a Revolving Loan that bears interest at a rate based on the definition of “Alternative Currency Term Rate.” All Alternative Currency Term Rate Loans must be denominated in an Agreed Foreign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the UK Bribery Act and all other laws, rules and regulations of any jurisdiction applicable to the Borrower or its Subsidiaries from time to time concerning or relating to money laundering, bribery or corruption.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Authority</w:t>
      </w:r>
      <w:r>
        <w:rPr>
          <w:rFonts w:ascii="Times New Roman;Times;Serif" w:hAnsi="Times New Roman;Times;Serif"/>
          <w:b w:val="false"/>
          <w:i w:val="false"/>
          <w:caps w:val="false"/>
          <w:smallCaps w:val="false"/>
          <w:sz w:val="20"/>
        </w:rPr>
        <w:t>” means (a) with respect to Term SOFR, the administrator of Term SOFR or any Governmental Authority having jurisdiction over the Administrative Agent or such administrator with respect to its publication of Term SOFR, in each case acting in such capacity and (b) with respect to any Agreed Foreign Currency, the applicable administrator for the Relevant Rate for such Agreed Foreign Currency or any Governmental Authority</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jurisdiction over the Administrative Agent or such administrator with respect to its publication of the applicable Relevant Rate, in each case acting in such capacity.</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as to any Person, all applicable Laws binding upon such Person or to which such a Person is subject.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means, with respect to any Revolving Lender in respect of the Revolving Facility, the percentage of the Aggregate Revolving Commitment represented by such Lender’s Revolving Commitment at such time; provided, however, that, if the Revolving Commitments have terminated or expired, the Applicable Percentages shall be determined based upon the Revolving Commitments most recently in effect, giving effect to any assignments. Notwithstanding the foregoing, when a Defaulting Lender shall exist (i) in the case of Section 2.20 (other than the last paragraph thereof), Applicable Percentages shall be determined without regard to any Defaulting Lender’s Commitment and (ii) in the case of the defined term “LC Exposure” (other than as used in Section 2.20 or in the determination of “Revolving Credit Exposure” for purposes of Section 2.20, in each case, except as expressly set forth in Section 2.20) and Section 2.04, Applicable Percentages shall be adjusted to give effect to any reallocation effected pursuant to Section 2.20(c).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ABR Loan, Alternative Currency Daily Rate Loan, Alternative Currency Term Rate Loan or Term SOFR Loan under the Revolving Facility, or with respect to the commitment fees payable under the Revolving Facility, as the case may be, the applicable rate per annum set forth below under the caption “ABR Spread,” “Term SOFR Spread,” “Alternative Currency Daily Rate Spread,” “Alternative Currency Term Rate Spread” or “Commitment Fee Rate,” respectively, based upon the Consolidated Leverage Ratio as of the most recent determination date:</w:t>
      </w:r>
    </w:p>
    <w:p>
      <w:pPr>
        <w:pStyle w:val="TextBody"/>
        <w:bidi w:val="0"/>
        <w:jc w:val="left"/>
        <w:rPr>
          <w:caps w:val="false"/>
          <w:smallCaps w:val="false"/>
        </w:rPr>
      </w:pPr>
      <w:r>
        <w:rPr>
          <w:caps w:val="false"/>
          <w:smallCaps w:val="false"/>
        </w:rPr>
        <w:t> </w:t>
      </w:r>
    </w:p>
    <w:tbl>
      <w:tblPr>
        <w:tblW w:w="9090" w:type="dxa"/>
        <w:jc w:val="left"/>
        <w:tblInd w:w="0" w:type="dxa"/>
        <w:tblLayout w:type="fixed"/>
        <w:tblCellMar>
          <w:top w:w="28" w:type="dxa"/>
          <w:left w:w="108" w:type="dxa"/>
          <w:bottom w:w="28" w:type="dxa"/>
          <w:right w:w="108" w:type="dxa"/>
        </w:tblCellMar>
      </w:tblPr>
      <w:tblGrid>
        <w:gridCol w:w="3230"/>
        <w:gridCol w:w="755"/>
        <w:gridCol w:w="1355"/>
        <w:gridCol w:w="1160"/>
        <w:gridCol w:w="1160"/>
        <w:gridCol w:w="1430"/>
      </w:tblGrid>
      <w:tr>
        <w:trPr/>
        <w:tc>
          <w:tcPr>
            <w:tcW w:w="323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283"/>
              <w:jc w:val="center"/>
              <w:rPr>
                <w:b/>
              </w:rPr>
            </w:pPr>
            <w:r>
              <w:rPr>
                <w:b/>
              </w:rPr>
              <w:t>Consolidated Leverage Ratio:</w:t>
            </w:r>
          </w:p>
        </w:tc>
        <w:tc>
          <w:tcPr>
            <w:tcW w:w="755"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center"/>
              <w:rPr/>
            </w:pPr>
            <w:r>
              <w:rPr>
                <w:b/>
              </w:rPr>
              <w:t xml:space="preserve">ABR </w:t>
            </w:r>
            <w:r>
              <w:rPr/>
              <w:br/>
            </w:r>
            <w:r>
              <w:rPr>
                <w:b/>
              </w:rPr>
              <w:t>Spread</w:t>
            </w:r>
          </w:p>
        </w:tc>
        <w:tc>
          <w:tcPr>
            <w:tcW w:w="1355"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center"/>
              <w:rPr/>
            </w:pPr>
            <w:r>
              <w:rPr>
                <w:b/>
              </w:rPr>
              <w:t xml:space="preserve">Term SOFR </w:t>
            </w:r>
            <w:r>
              <w:rPr/>
              <w:br/>
            </w:r>
            <w:r>
              <w:rPr>
                <w:b/>
              </w:rPr>
              <w:t>Spread</w:t>
            </w:r>
          </w:p>
        </w:tc>
        <w:tc>
          <w:tcPr>
            <w:tcW w:w="11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center"/>
              <w:rPr/>
            </w:pPr>
            <w:r>
              <w:rPr>
                <w:b/>
              </w:rPr>
              <w:t>Alternative</w:t>
            </w:r>
            <w:r>
              <w:rPr/>
              <w:br/>
            </w:r>
            <w:r>
              <w:rPr>
                <w:b/>
              </w:rPr>
              <w:t>Currency</w:t>
            </w:r>
            <w:r>
              <w:rPr/>
              <w:br/>
            </w:r>
            <w:r>
              <w:rPr>
                <w:b/>
              </w:rPr>
              <w:t>Daily Rate</w:t>
            </w:r>
            <w:r>
              <w:rPr/>
              <w:br/>
            </w:r>
            <w:r>
              <w:rPr>
                <w:b/>
              </w:rPr>
              <w:t>Spread</w:t>
            </w:r>
          </w:p>
        </w:tc>
        <w:tc>
          <w:tcPr>
            <w:tcW w:w="11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center"/>
              <w:rPr/>
            </w:pPr>
            <w:r>
              <w:rPr>
                <w:b/>
              </w:rPr>
              <w:t>Alternative</w:t>
            </w:r>
            <w:r>
              <w:rPr/>
              <w:br/>
            </w:r>
            <w:r>
              <w:rPr>
                <w:b/>
              </w:rPr>
              <w:t>Currency</w:t>
            </w:r>
            <w:r>
              <w:rPr/>
              <w:br/>
            </w:r>
            <w:r>
              <w:rPr>
                <w:b/>
              </w:rPr>
              <w:t>Term Rate</w:t>
            </w:r>
            <w:r>
              <w:rPr/>
              <w:br/>
            </w:r>
            <w:r>
              <w:rPr>
                <w:b/>
              </w:rPr>
              <w:t>Spread</w:t>
            </w:r>
          </w:p>
        </w:tc>
        <w:tc>
          <w:tcPr>
            <w:tcW w:w="143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center"/>
              <w:rPr/>
            </w:pPr>
            <w:r>
              <w:rPr>
                <w:b/>
              </w:rPr>
              <w:t xml:space="preserve">Commitment </w:t>
            </w:r>
            <w:r>
              <w:rPr/>
              <w:br/>
            </w:r>
            <w:r>
              <w:rPr>
                <w:b/>
              </w:rPr>
              <w:t>Fee Rate</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u w:val="single"/>
              </w:rPr>
              <w:t>Category 1</w:t>
            </w:r>
            <w:r>
              <w:rPr/>
              <w:br/>
              <w:t>Greater than or equal to 4.50:1.00</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1.50%</w:t>
            </w:r>
          </w:p>
        </w:tc>
        <w:tc>
          <w:tcPr>
            <w:tcW w:w="13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2.50%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2.50%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2.50%</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0.35%</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u w:val="single"/>
              </w:rPr>
              <w:t>Category 2</w:t>
            </w:r>
            <w:r>
              <w:rPr/>
              <w:br/>
              <w:t>Greater than or equal to 3.50:1.00</w:t>
              <w:br/>
              <w:t>but less than 4.50:1.00</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1.25%</w:t>
            </w:r>
          </w:p>
        </w:tc>
        <w:tc>
          <w:tcPr>
            <w:tcW w:w="13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2.25%</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2.25%</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2.25%</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0.30%</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u w:val="single"/>
              </w:rPr>
              <w:t>Category 3</w:t>
            </w:r>
            <w:r>
              <w:rPr/>
              <w:br/>
              <w:t>Greater than or equal to 2.50:1.00</w:t>
              <w:br/>
              <w:t>but less than 3.50:1.00</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1.00%</w:t>
            </w:r>
          </w:p>
        </w:tc>
        <w:tc>
          <w:tcPr>
            <w:tcW w:w="13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2.00%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2.00%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2.00%</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0.25%</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u w:val="single"/>
              </w:rPr>
              <w:t>Category 4</w:t>
            </w:r>
            <w:r>
              <w:rPr/>
              <w:br/>
              <w:t>Greater than or equal to 1.75:1.00</w:t>
              <w:br/>
              <w:t>but less than 2.50:1.00</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0.75%</w:t>
            </w:r>
          </w:p>
        </w:tc>
        <w:tc>
          <w:tcPr>
            <w:tcW w:w="13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1.75%</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1.75%</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1.75%</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0.20%</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u w:val="single"/>
              </w:rPr>
              <w:t>Category 5</w:t>
            </w:r>
            <w:r>
              <w:rPr/>
              <w:br/>
              <w:t>Less than 1.75:1.00</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0.50%</w:t>
            </w:r>
          </w:p>
        </w:tc>
        <w:tc>
          <w:tcPr>
            <w:tcW w:w="135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1.50%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1.50%</w:t>
            </w:r>
          </w:p>
        </w:tc>
        <w:tc>
          <w:tcPr>
            <w:tcW w:w="11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1.50%</w:t>
            </w:r>
          </w:p>
        </w:tc>
        <w:tc>
          <w:tcPr>
            <w:tcW w:w="143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0.15%</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(i) the Consolidated Leverage Ratio shall be determined as of the end of each fiscal quarter of each fiscal year of the Borrower based upon the Borrower’s consolidated financial statements delivered pursuant to Section 6.01(a) or (b), as applicable, (ii) until the delivery of the financial statements for the fiscal year ending September 30, 2026 pursuant to Section 6.01(a), the ABR Spread shall be 0.75%, the Term SOFR Spread, the Alternative Currency Daily Rate Spread and the Alternative Currency Term Rate Spread shall be 1.75% and the Commitment Fee Rate shall be 0.20% and (iii) each change in the Applicable Rate resulting from a change in the Consolidated Leverage Ratio shall be effective during the period commencing on and including the date three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Business Days after delivery to the Administrative Agent of such consolidated financial statements indicating such change and ending on the date immediately preceding the effective date of the next such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Consolidated Leverage Ratio shall be deemed to be in Category 1 (A) at any time that an Event of Default has occurred and is continuing or (B) if the Borrower fails to deliver the consolidated financial statements required to be delivered by it pursuant to Section 6.01(a) or (b), during the period from the expiration of the time for delivery thereof until such consolidated financial statements are delivered.</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means BofA Securities, Inc., BNP Paribas Securities Corp., Deutsche Bank Securities Inc., Goldman Sachs Bank USA and Wells Fargo Securities,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means an assignment and assumption entered into by a Lender and an assignee (with the consent of any party whose consent is required by Section 10.04), and accepted by the Administrative Agent, in the form of Exhibit A or any other form approved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Assuming Lender</w:t>
      </w:r>
      <w:r>
        <w:rPr>
          <w:rFonts w:ascii="Times New Roman;Times;Serif" w:hAnsi="Times New Roman;Times;Serif"/>
          <w:b w:val="false"/>
          <w:i w:val="false"/>
          <w:caps w:val="false"/>
          <w:smallCaps w:val="false"/>
          <w:sz w:val="20"/>
        </w:rPr>
        <w:t>” has the meaning set forth in Section 2.09(c).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means the audited consolidated balance sheet and consolidated results of operations for the Borrower and its Subsidiaries as of and for the fiscal years ended September 30, 2024 and September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means the period from and including the Sixth Restatement Effective Date to but excluding the earlier of the Revolving Commitment Termination Date and the date of termination of the Revolving Commitments.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Amount</w:t>
      </w:r>
      <w:r>
        <w:rPr>
          <w:rFonts w:ascii="Times New Roman;Times;Serif" w:hAnsi="Times New Roman;Times;Serif"/>
          <w:b w:val="false"/>
          <w:i w:val="false"/>
          <w:caps w:val="false"/>
          <w:smallCaps w:val="false"/>
          <w:sz w:val="20"/>
        </w:rPr>
        <w:t>” means, at any time, an amount equal to the sum, without duplication, of:</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50% of Adjusted Net Income of the Borrower and its Restricted Subsidiaries for the period (taken as one accounting period) beginning April 1, 2023 to the end of the Borrower’s most recently ended four fiscal quarter period for which financial statements have been delivered, or, in the case that such Adjusted Net Income for such period is a deficit,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100% of such deficit; </w:t>
      </w:r>
      <w:r>
        <w:rPr>
          <w:rFonts w:ascii="Times New Roman;Times;Serif" w:hAnsi="Times New Roman;Times;Serif"/>
          <w:b w:val="false"/>
          <w:i/>
          <w:caps w:val="false"/>
          <w:smallCaps w:val="false"/>
          <w:sz w:val="20"/>
        </w:rPr>
        <w:t>plus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100% of the aggregate net cash proceeds and the fair market value of marketable securities or other property received by the Borrower since immediately after the First Amendment Effective Date (other than net cash proceeds to the extent such proceeds have been utilized as the basis for any other transaction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hereof) from the sale of:</w:t>
      </w:r>
    </w:p>
    <w:p>
      <w:pPr>
        <w:pStyle w:val="TextBody"/>
        <w:bidi w:val="0"/>
        <w:ind w:left="0" w:right="0" w:firstLine="720"/>
        <w:jc w:val="both"/>
        <w:rPr>
          <w:caps w:val="false"/>
          <w:smallCaps w:val="false"/>
        </w:rPr>
      </w:pPr>
      <w:r>
        <w:rPr>
          <w:caps w:val="false"/>
          <w:smallCaps w:val="false"/>
        </w:rPr>
        <w:t> </w:t>
      </w:r>
    </w:p>
    <w:p>
      <w:pPr>
        <w:pStyle w:val="TextBody"/>
        <w:bidi w:val="0"/>
        <w:ind w:left="216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Capital Stock of the Borrower, including Treasury Capital Stock (as defined below); or</w:t>
      </w:r>
    </w:p>
    <w:p>
      <w:pPr>
        <w:pStyle w:val="TextBody"/>
        <w:bidi w:val="0"/>
        <w:ind w:left="0" w:right="0" w:firstLine="1008"/>
        <w:jc w:val="both"/>
        <w:rPr>
          <w:caps w:val="false"/>
          <w:smallCaps w:val="false"/>
        </w:rPr>
      </w:pPr>
      <w:r>
        <w:rPr>
          <w:caps w:val="false"/>
          <w:smallCaps w:val="false"/>
        </w:rPr>
        <w:t> </w:t>
      </w:r>
    </w:p>
    <w:p>
      <w:pPr>
        <w:pStyle w:val="TextBody"/>
        <w:bidi w:val="0"/>
        <w:ind w:left="216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debt securities of the Borrower that have been converted into or exchanged for such Capital Stock of such Borrower;</w:t>
      </w:r>
    </w:p>
    <w:p>
      <w:pPr>
        <w:pStyle w:val="TextBody"/>
        <w:bidi w:val="0"/>
        <w:ind w:left="0" w:right="0" w:firstLine="1008"/>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clause (b) shall not include the net cash proceeds from (X) Capital Stock or convertible debt securities of the Borrower sold to a Restricted Subsidiary, as the case may be, or (Y) Disqualified Stock or debt securities that have been converted into Disqualified Stock; </w:t>
      </w:r>
      <w:r>
        <w:rPr>
          <w:rFonts w:ascii="Times New Roman;Times;Serif" w:hAnsi="Times New Roman;Times;Serif"/>
          <w:b w:val="false"/>
          <w:i/>
          <w:caps w:val="false"/>
          <w:smallCaps w:val="false"/>
          <w:sz w:val="20"/>
        </w:rPr>
        <w:t>plus</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100% of the aggregate amount of cash and the fair market value of marketable securities or other property contributed to the capital of the Borrower following the First Amendment Effective Date (other than net cash proceeds to the extent such net cash proceeds are contributed by a Restricted Subsidiary); </w:t>
      </w:r>
      <w:r>
        <w:rPr>
          <w:rFonts w:ascii="Times New Roman;Times;Serif" w:hAnsi="Times New Roman;Times;Serif"/>
          <w:b w:val="false"/>
          <w:i/>
          <w:caps w:val="false"/>
          <w:smallCaps w:val="false"/>
          <w:sz w:val="20"/>
        </w:rPr>
        <w:t>plus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100% of the aggregate amount received in cash and the fair market value of marketable securities or other property received by means of:</w:t>
      </w:r>
    </w:p>
    <w:p>
      <w:pPr>
        <w:pStyle w:val="TextBody"/>
        <w:bidi w:val="0"/>
        <w:ind w:left="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or other disposition (other than to the Borrower or a Restricted Subsidiary) of Investments made by the Borrower or its Restricted Subsidiaries pursuant to Section 7.06(h) or interest payments made in respect of any repurchases and redemptions of such Investments made pursuant to Section 7.06(h) from the Borrower or its Restricted Subsidiaries, repayments of or interest payments made in respect of any loans or advances, and releases of guarantees, which constitute Investments made pursuant to Section 7.06(h) by the Borrower or its Restricted Subsidiaries or any dividends or other distributions made or payments made with respect to any Investments by the Borrower or any Restricted Subsidiary pursuant to Section 7.06(h) in each case after the First Amendment Effective Date; or</w:t>
      </w:r>
    </w:p>
    <w:p>
      <w:pPr>
        <w:pStyle w:val="TextBody"/>
        <w:bidi w:val="0"/>
        <w:ind w:left="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sale (other than to the Borrower or a Restricted Subsidiary) of the stock of an Unrestricted Subsidiary or a distribution from an Unrestricted Subsidiary (other than in each case to the extent the Investment in such Unrestricted Subsidiary constituted an Investment permitted by Section 7.06) or a dividend from an Unrestricted Subsidiary after the First Amendment Effective Date; </w:t>
      </w:r>
      <w:r>
        <w:rPr>
          <w:rFonts w:ascii="Times New Roman;Times;Serif" w:hAnsi="Times New Roman;Times;Serif"/>
          <w:b w:val="false"/>
          <w:i/>
          <w:caps w:val="false"/>
          <w:smallCaps w:val="false"/>
          <w:sz w:val="20"/>
        </w:rPr>
        <w:t>plus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the redesignation of an Unrestricted Subsidiary as a Restricted Subsidiary after the First Amendment Effective Date, the merger or consolidation of an Unrestricted Subsidiary into the Borrower or a Restricted Subsidiary or the transfer of assets of any Unrestricted Subsidiary to the Borrower or a Restricted Subsidiary, the fair market value of the Investment in such Unrestricted Subsidiary at the time of the redesignation, merger, consolidation or transfer (or of the assets transferred, as applicable); provided that the designation of such Subsidiary as an Unrestricted Subsidiary was made pursuant to Section 7.06(h).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Revolving Commitment</w:t>
      </w:r>
      <w:r>
        <w:rPr>
          <w:rFonts w:ascii="Times New Roman;Times;Serif" w:hAnsi="Times New Roman;Times;Serif"/>
          <w:b w:val="false"/>
          <w:i w:val="false"/>
          <w:caps w:val="false"/>
          <w:smallCaps w:val="false"/>
          <w:sz w:val="20"/>
        </w:rPr>
        <w:t>” means, as to any Revolving Lender at any time, an amount equal to the excess, if any, of (a) such Revolving Lender’s Revolving Commitment then in effect over (b) such Revolving Lender’s Revolving Credit Exposure then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of America</w:t>
      </w:r>
      <w:r>
        <w:rPr>
          <w:rFonts w:ascii="Times New Roman;Times;Serif" w:hAnsi="Times New Roman;Times;Serif"/>
          <w:b w:val="false"/>
          <w:i w:val="false"/>
          <w:caps w:val="false"/>
          <w:smallCaps w:val="false"/>
          <w:sz w:val="20"/>
        </w:rPr>
        <w:t>” means Bank of America, N.A. and its successors.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(11 U.S.C. § 101 et seq.), as amended from time to time, or any successor statute.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that has not been dismissed by a court of competent jurisdiction,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ownership interest does not result in or provide such Person with immunity from</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required by the Beneficial Ownership Regulation.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Section 3(3))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set forth in the preamble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Equity Plan</w:t>
      </w:r>
      <w:r>
        <w:rPr>
          <w:rFonts w:ascii="Times New Roman;Times;Serif" w:hAnsi="Times New Roman;Times;Serif"/>
          <w:b w:val="false"/>
          <w:i w:val="false"/>
          <w:caps w:val="false"/>
          <w:smallCaps w:val="false"/>
          <w:sz w:val="20"/>
        </w:rPr>
        <w:t>” has the meaning set forth in Section 7.07(e).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has the meaning set forth in Section 6.01.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Term Borrowing or a Revolving Borrowing, as the context may require.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means a notice of a Borrowing, which shall be substantially in the form of Exhibit F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(a) that is not a Saturday, Sunday or other day on which commercial banks in New York City are authorized or required by law to remain closed, (b) if such day relates to a borrowing of, a payment or prepayment of principal of or interest on, a continuation or conversion of or into, or the Interest Period for, a Term SOFR Borrowing, or to a notice by the Borrower with respect to any such borrowing, payment, prepayment, continuation, conversion, or Interest Period, that is also a day on which dealings in deposits denominated in the Currency of such Borrowing are carried out in the applicable interbank market, (c) if such day relates to a borrowing or continuation of, a payment or prepayment of principal of or interest on, or the Interest Period for, any Borrowing denominated in any Foreign Currency (other than euro or English Pounds Sterling), or to a notice by the Borrower with respect to any such borrowing, continuation, payment, prepayment or Interest Period, that is also a day on which commercial banks and the applicable foreign exchange market settle payments in the Principal Financial Center for such Foreign Currency, (d) if such day relates to a borrowing or continuation of, a payment or prepayment of principal of or interest on, or the Interest Period for, any Borrowing denominated in euro (or any notice with respect thereto), that is also a TARGET Day, (e) if such day relates to a borrowing or continuation of, a payment or prepayment of principal of or interest on, or the Interest Period for, any Borrowing denominated in English Pounds Sterling (or any notice with respect thereto), that is not a day banks are closed for general business in London because such day is a legal holiday under the laws of the United Kingdom and (f) if such day relates to any interest rate settings as to a Borrowing denominated in any Foreign Currency (other than euro or English Pounds Sterling), that is a day on which dealings in deposits in the relevant Foreign Currency (other than euro or English Pounds Sterling) are conducted by and between banks in the applicable offshore interbank market for such Foreign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financing leases on a balance sheet of such Person under GAAP, and the amount of such obligations shall be the capitalized amount thereof determined in accordance with GAAP.</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 in the case of a corporation, capital stock, (b) in the case of an association or business entity, any and all shares, interests, participations, rights or other equivalents (however designated) of corporate stock, (c) in the case of a limited liability company, membership units (whether common or preferred), (d) in the case of a partnership, partnership interests (whether general or limited) and (e) any other equivalent ownership interest or participation that confers on a Person the right to receive a share of the profits and losses of, or distributions of assets of, the issuing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means to deposit in a Collateral Account or pledge and deposit with or deliver to the Administrative Agent, for the benefit of one or more of the Issuing Lenders and the Revolving Lenders, as collateral for LC Obligations or obligations of Revolving Lenders to fund participations in respect of LC Obligations, cash or deposit account balances or, if the Administrative Agent or the Issuing Lenders shall agree in their sole discretion, other credit support, in each case pursuant to documentation in form and substance reasonably satisfactory to (a) the Administrative Agent and (b) the Issuing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 during any period of 12 consecutive calendar months, the ceasing of those individuals (the “</w:t>
      </w:r>
      <w:r>
        <w:rPr>
          <w:rFonts w:ascii="Times New Roman;Times;Serif" w:hAnsi="Times New Roman;Times;Serif"/>
          <w:b w:val="false"/>
          <w:i w:val="false"/>
          <w:caps w:val="false"/>
          <w:smallCaps w:val="false"/>
          <w:sz w:val="20"/>
          <w:u w:val="single"/>
        </w:rPr>
        <w:t>Continuing Directors</w:t>
      </w:r>
      <w:r>
        <w:rPr>
          <w:rFonts w:ascii="Times New Roman;Times;Serif" w:hAnsi="Times New Roman;Times;Serif"/>
          <w:b w:val="false"/>
          <w:i w:val="false"/>
          <w:caps w:val="false"/>
          <w:smallCaps w:val="false"/>
          <w:sz w:val="20"/>
        </w:rPr>
        <w:t>”) who (i) were directors of the Borrower on the first day of each such period, or (ii) subsequently became directors of the Borrower and whose initial election or initial nomination for election subsequent to that date was approved by a majority of the Continuing Directors then on the board of directors of the Borrower, to constitute a majority of the board of directors of the Borrower, or (b) after the Effective Date, any “person” or “group” (as such terms are used in Sections 13(d) and 14(d) of the Exchange Act) shall become, or obtain rights (whether by means or warrants, options or otherwise) to become, the “beneficial owner” (as defined in Rules 13(d)-3 and 13(d)-5 under the Exchange Act), directly or indirectly, of more than 35% of the outstanding common stock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Lender (or, for purposes of Section 2.15(b), by any Lending Office of such Lender or by such Lender’s or such Issuing Lender’s holding company, if any) with any request, guideline or directive (whether or not having the force of law) of any Governmental Authority made or issued after the date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 any Loan or Borrowing, refers to whether such Loan, or the Loans comprising such Borrowing, are Revolving Loans, Incremental Term Loans, Extended Term Loans or Refinancing Term Loans, (b) any Commitment, refers to whether such Commitment is a Revolving Commitment, commitment in respect of Incremental Term Loans, commitment in respect of Extended Term Loans or commitment in respect of Refinancing Term Loans and (c) any Lender, refers to whether such Lender has a Loan or Commitment with respect to a particular Class of Loans or Commitments. Refinancing Term Loans, commitments in respect of Refinancing Term Loans, Extended Term Loans, commitments in respect of Extended Term Loans, commitments in respect of Incremental Term Loans and Incremental Term Loans that have different terms and conditions shall be construed to be in different Classes.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w:t>
      </w:r>
      <w:r>
        <w:rPr>
          <w:rFonts w:ascii="Times New Roman;Times;Serif" w:hAnsi="Times New Roman;Times;Serif"/>
          <w:b w:val="false"/>
          <w:i w:val="false"/>
          <w:caps w:val="false"/>
          <w:smallCaps w:val="false"/>
          <w:sz w:val="20"/>
        </w:rPr>
        <w:t>” means CME Group Benchmark Administration Limited.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means Capital One, National Association, Manufacturers and Traders Trust Company, Morgan Stanley Senior Funding, Inc. and TD Bank, N.A., in their capacities as Co-Documentation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means BNP Paribas, Deutsche Bank Securities Inc., Goldman Sachs Bank USA and Wells Fargo Bank, National Association, in their capacities as Co-Syndication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all property of the Loan Parties, now owned or hereafter acquired, upon which a Lien is purported to be created by any Security Document. Notwithstanding anything in this Agreement or any Loan Documents to the contrary, in no event shall real property and any and all improvements thereon or any Margin Stock, in each case whether now owned or at any time hereafter acquired by the Borrower or any of its Restricted Subsidiaries, constitute Collateral hereunder or under any of the Loan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Account</w:t>
      </w:r>
      <w:r>
        <w:rPr>
          <w:rFonts w:ascii="Times New Roman;Times;Serif" w:hAnsi="Times New Roman;Times;Serif"/>
          <w:b w:val="false"/>
          <w:i w:val="false"/>
          <w:caps w:val="false"/>
          <w:smallCaps w:val="false"/>
          <w:sz w:val="20"/>
        </w:rPr>
        <w:t>” has the meaning assigned to such term in the Guarantee and Collateral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 Revolving Commitment or a Term Commitment, as the context may require.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Depreciation and Amortization Expense</w:t>
      </w:r>
      <w:r>
        <w:rPr>
          <w:rFonts w:ascii="Times New Roman;Times;Serif" w:hAnsi="Times New Roman;Times;Serif"/>
          <w:b w:val="false"/>
          <w:i w:val="false"/>
          <w:caps w:val="false"/>
          <w:smallCaps w:val="false"/>
          <w:sz w:val="20"/>
        </w:rPr>
        <w:t>” means with respect to any Person for any period, the total amount of depreciation and amortization expense, including the amortization of goodwill and other intangibles, deferred financing fees of such Person and its Restricted Subsidiaries, for such period on a consolidated basis and otherwise determined in accordance with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w:t>
      </w:r>
      <w:r>
        <w:rPr>
          <w:rFonts w:ascii="Times New Roman;Times;Serif" w:hAnsi="Times New Roman;Times;Serif"/>
          <w:b w:val="false"/>
          <w:i w:val="false"/>
          <w:caps w:val="false"/>
          <w:smallCaps w:val="false"/>
          <w:sz w:val="20"/>
        </w:rPr>
        <w:t>” means this Agreement, any Loan Document and any document, any amendment, approval, consent, information, notice, certificate, request, statement, disclosure or authorization related to any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the use, administration of or any conventions associated with SOFR, SONIA or any proposed Successor Rate or Term SOFR, as applicable, any conforming changes to the definitions of “Alternate Base Rate”, “SOFR”, “SONIA,”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for Dollars or such Agreed Foreign Currency, as applicable (or, if the Administrative Agent determines that adoption of any portion of such market practice is not administratively feasible or that no market practice for the administration of such rate for Dollars or such Agreed Foreign Currency, as applicable, exists, in such other manner of administration as the Administrative Agent determines is reasonably necessary in connection with the administration of this Agreement and any other Loan Document in consultation with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with respect to any Person for any period, the Adjusted Net Income of such Person for such period</w:t>
      </w:r>
    </w:p>
    <w:p>
      <w:pPr>
        <w:pStyle w:val="TextBody"/>
        <w:bidi w:val="0"/>
        <w:ind w:left="0" w:right="0" w:firstLine="720"/>
        <w:jc w:val="left"/>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increased (without duplication) by, to the extent deducted (and not added back) in computing Adjusted Net Income:</w:t>
      </w:r>
    </w:p>
    <w:p>
      <w:pPr>
        <w:pStyle w:val="TextBody"/>
        <w:bidi w:val="0"/>
        <w:ind w:left="0" w:right="0" w:firstLine="720"/>
        <w:jc w:val="left"/>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provision for taxes based on income or profits or capital gains, including, without limitation, state, franchise and similar taxes and foreign withholding taxes of such Person paid or accrued during such period; </w:t>
      </w:r>
      <w:r>
        <w:rPr>
          <w:rFonts w:ascii="Times New Roman;Times;Serif" w:hAnsi="Times New Roman;Times;Serif"/>
          <w:b w:val="false"/>
          <w:i w:val="false"/>
          <w:caps w:val="false"/>
          <w:smallCaps w:val="false"/>
          <w:sz w:val="20"/>
          <w:u w:val="single"/>
        </w:rPr>
        <w:t>plus</w:t>
      </w:r>
    </w:p>
    <w:p>
      <w:pPr>
        <w:pStyle w:val="TextBody"/>
        <w:bidi w:val="0"/>
        <w:ind w:left="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Fixed Charges of such Person for such period; </w:t>
      </w:r>
      <w:r>
        <w:rPr>
          <w:rFonts w:ascii="Times New Roman;Times;Serif" w:hAnsi="Times New Roman;Times;Serif"/>
          <w:b w:val="false"/>
          <w:i w:val="false"/>
          <w:caps w:val="false"/>
          <w:smallCaps w:val="false"/>
          <w:sz w:val="20"/>
          <w:u w:val="single"/>
        </w:rPr>
        <w:t>plus</w:t>
      </w:r>
    </w:p>
    <w:p>
      <w:pPr>
        <w:pStyle w:val="TextBody"/>
        <w:bidi w:val="0"/>
        <w:ind w:left="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Consolidated Depreciation and Amortization Expense of such Person for such period; </w:t>
      </w:r>
      <w:r>
        <w:rPr>
          <w:rFonts w:ascii="Times New Roman;Times;Serif" w:hAnsi="Times New Roman;Times;Serif"/>
          <w:b w:val="false"/>
          <w:i w:val="false"/>
          <w:caps w:val="false"/>
          <w:smallCaps w:val="false"/>
          <w:sz w:val="20"/>
          <w:u w:val="single"/>
        </w:rPr>
        <w:t>plus</w:t>
      </w:r>
    </w:p>
    <w:p>
      <w:pPr>
        <w:pStyle w:val="TextBody"/>
        <w:bidi w:val="0"/>
        <w:ind w:left="0" w:right="0" w:firstLine="720"/>
        <w:jc w:val="left"/>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fees, expenses or charges for such period relating to any offering of Capital Stock or Indebtedness of the Borrower or any Restricted Subsidiary permitted under this Agreement or any Permitted Acquisition (or potential permitted acquisition, even if not consummated); </w:t>
      </w:r>
      <w:r>
        <w:rPr>
          <w:rFonts w:ascii="Times New Roman;Times;Serif" w:hAnsi="Times New Roman;Times;Serif"/>
          <w:b w:val="false"/>
          <w:i w:val="false"/>
          <w:caps w:val="false"/>
          <w:smallCaps w:val="false"/>
          <w:sz w:val="20"/>
          <w:u w:val="single"/>
        </w:rPr>
        <w:t>plus</w:t>
      </w:r>
    </w:p>
    <w:p>
      <w:pPr>
        <w:pStyle w:val="TextBody"/>
        <w:bidi w:val="0"/>
        <w:ind w:left="0" w:right="0" w:firstLine="720"/>
        <w:jc w:val="left"/>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fees, expenses or charges for such period related to the consummation of this Agreement (if incurred prior to the date that is 120 days after the Sixth Restatement Effective Date); </w:t>
      </w:r>
      <w:r>
        <w:rPr>
          <w:rFonts w:ascii="Times New Roman;Times;Serif" w:hAnsi="Times New Roman;Times;Serif"/>
          <w:b w:val="false"/>
          <w:i w:val="false"/>
          <w:caps w:val="false"/>
          <w:smallCaps w:val="false"/>
          <w:sz w:val="20"/>
          <w:u w:val="single"/>
        </w:rPr>
        <w:t>plus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amount of any restructuring charge incurred for such period in connection with the closing and restructuring of idle facilities and non-recurring restructuring charges incurred in connection with the consolidation of facilities;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such charges referred to in this clause (f) shall not exceed $40,000,000 in any four fiscal quarter period; and provided further that, in any event, all cash costs and cash expenses relating to the publicly announced expansion of the global sourcing initiative relating to the US lawn and garden tools portion of the consumer and professional products segment, not to exceed $60,000,000 in the aggregate and only to the extent incurred on or prior to September 30, 2026, shall be allowed to be added back when computing Consolidated EBITDA (it being understood that any non-cash costs and non-cash expenses relating to the expansion of the global sourcing initiative referred to above shall be eligible to be added back for purposes of computing Consolidated EBITDA to the extent applicable pursuant to another subsection of Section (1) of the definition of Consolidated EBITDA);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severance or similar one-time compensation charges for such period, in an aggregate amount not to exceed $20,000,000 in any four fiscal quarter period; provided that, in any event, all employee retention payments relating to the strategic transaction review process and all severance payments in connection with the restructuring relating to the expansion of the global sourcing initiative referred to in clause (f) above, not to exceed $40,000,000 in the aggregate and only to the extent incurred prior to September 30, 2026, shall be allowed to be added back when computing Consolidated EBITDA</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expenses related to the acquisition of substantially all of the assets of West Barrows Mix Pty Ltd. for such period, in an aggregate amount not to exceed $2,000,000 over the term of this Agreement;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[reserved],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non-cash charges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any costs or expense incurred by the Borrower or a Restricted Subsidiary for such period pursuant to any management equity plan or stock option plan or any other management or employee benefit plan or agreement or any stock subscription or shareholder agreement, to the extent such cost or expenses are funded with cash proceeds contributed to the capital of the Borrower or net cash proceeds of a substantially concurrent issuance of Capital Stock of the Borrower (other than Disqualified Stock);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non-cash compensation expense recorded for such period from grants of stock appreciation or similar rights, stock options, restricted stock or other rights; </w:t>
      </w:r>
      <w:r>
        <w:rPr>
          <w:rFonts w:ascii="Times New Roman;Times;Serif" w:hAnsi="Times New Roman;Times;Serif"/>
          <w:b w:val="false"/>
          <w:i w:val="false"/>
          <w:caps w:val="false"/>
          <w:smallCaps w:val="false"/>
          <w:sz w:val="20"/>
          <w:u w:val="single"/>
        </w:rPr>
        <w:t>plus</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 connection with any Material Acquisition (as defined below) or Material Disposition (as defined below): (A) cost savings, operating expense reductions, operational improvements and synergies permitted to be reflected in pro forma financial information under Rule 11-02 of Regulation S-X under the Securities Act, for such period and (B) cost savings, operating expense reductions, operational improvements and cost saving synergies of the Borrower and its Restricted Subsidiaries resulting from, or expected to result from, actions taken, committed to be taken or planned to be taken within the next 18 months following the date of such Material Acquisition or Material Disposition that (1) are reasonably identified, factually supported and determined in good faith by the Borrower to be probable as a result of such actions, and (2) do not exceed the actual cost savings expected in good faith to be realized by the Borrower and its Restricted Subsidiaries as a result of such 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any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pursuant to this clause (m)(B) for any Test Period shall not exceed 20% of Consolidated EBITDA for such four quarter period after giving effect to this clause (m)(B);</w:t>
      </w:r>
    </w:p>
    <w:p>
      <w:pPr>
        <w:pStyle w:val="TextBody"/>
        <w:bidi w:val="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decreased by (without duplication) non-cash gains increasing Adjusted Net Income of such Person for such period, excluding any non-cash gains to the extent they represent the reversal of an accrual or reserve for a potential cash item that reduced Consolidated EBITDA in any prior period, and</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increased or decreased by (without duplication):</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net gain or loss resulting in such period from Obligations in respect of Swap Agreements and the application of Statement of Financial Accounting Standards No. 133;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as applicable,</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net gain or loss resulting in such period from currency translation gains or losses related to currency remeasurements of Indebtedness (including any net loss or gain resulting from Obligations in respect of Swap Agreements for currency exchange risk);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as applicable,</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net after tax income (loss) for such period from the early extinguishment of Indebtedness or Obligations in respect of Swap Agreements or other derivative,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 determined on a consolidated basis for such Person and its Restricted Subsidiaries in accordance with GAAP. For the purposes of calculating Consolidated EBITDA for any period of four consecutive fiscal quarters (each, a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xml:space="preserve">”) pursuant to any determination of the Consolidated Leverage Ratio or the Consolidated Senior Secured Leverage Ratio, (i) if at any time during such Reference Period the Borrower or any Restricted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Restricted Subsidiary shall have made a Material Acquisition, Consolidated EBITDA for such Reference Period shall be calculated after giving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effect thereto as if such Material Acquisition occurred on the first day of such Reference Period. As used in this definition, “</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means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Borrower and its Restricted Subsidiaries in excess of $50,000,000; and “</w:t>
      </w:r>
      <w:r>
        <w:rPr>
          <w:rFonts w:ascii="Times New Roman;Times;Serif" w:hAnsi="Times New Roman;Times;Serif"/>
          <w:b w:val="false"/>
          <w:i w:val="false"/>
          <w:caps w:val="false"/>
          <w:smallCaps w:val="false"/>
          <w:sz w:val="20"/>
          <w:u w:val="single"/>
        </w:rPr>
        <w:t>Material Disposition</w:t>
      </w:r>
      <w:r>
        <w:rPr>
          <w:rFonts w:ascii="Times New Roman;Times;Serif" w:hAnsi="Times New Roman;Times;Serif"/>
          <w:b w:val="false"/>
          <w:i w:val="false"/>
          <w:caps w:val="false"/>
          <w:smallCaps w:val="false"/>
          <w:sz w:val="20"/>
        </w:rPr>
        <w:t>” means any Disposition of property or series of related Dispositions of property that yields gross proceeds to the Borrower or any of its Restricted Subsidiaries in excess of $50,000,000.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Debt</w:t>
      </w:r>
      <w:r>
        <w:rPr>
          <w:rFonts w:ascii="Times New Roman;Times;Serif" w:hAnsi="Times New Roman;Times;Serif"/>
          <w:b w:val="false"/>
          <w:i w:val="false"/>
          <w:caps w:val="false"/>
          <w:smallCaps w:val="false"/>
          <w:sz w:val="20"/>
        </w:rPr>
        <w:t>” means, at any date, the aggregate principal amount of all Indebtedness for borrowed money (after eliminating intercompany Indebtedness between Group Members permitted by this Agreement) of the Borrower and its Restricted Subsidiaries at such date, net of unrestricted cash and Permitted Investments as of such day, in each case, determined on a consolidated basis in accordance with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Coverage Ratio</w:t>
      </w:r>
      <w:r>
        <w:rPr>
          <w:rFonts w:ascii="Times New Roman;Times;Serif" w:hAnsi="Times New Roman;Times;Serif"/>
          <w:b w:val="false"/>
          <w:i w:val="false"/>
          <w:caps w:val="false"/>
          <w:smallCaps w:val="false"/>
          <w:sz w:val="20"/>
        </w:rPr>
        <w:t>” means, for any period, the ratio of (a) Consolidated EBITDA for such period to (b) Consolidated Interest Expense for such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with respect to any Person for any period, without duplication, the sum of:</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interest expense (after eliminating intercompany Indebtedness between Group Members permitted by this Agreement) of such Person and its Restricted Subsidiaries for such period, to the extent such expense was deducted (and not added back) in computing Adjusted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movement in the mark to market valuation of obligations in respect of Swap Agreements or other derivative instruments pursuant to GAAP), (iv) the interest component of Capital Lease Obligations, (v) commitment fees in respect of the Loans or any other revolving credit facilities and (vi) net payments, if any, pursuant to interest rate obligations in respect of Swap Agreements with respect to Indebtedness, and excluding (x) amortization of deferred financing fees, debt issuance costs, commissions, fees and expenses and (y) any expensing of one-time bridge and other financing fees; </w:t>
      </w:r>
      <w:r>
        <w:rPr>
          <w:rFonts w:ascii="Times New Roman;Times;Serif" w:hAnsi="Times New Roman;Times;Serif"/>
          <w:b w:val="false"/>
          <w:i w:val="false"/>
          <w:caps w:val="false"/>
          <w:smallCaps w:val="false"/>
          <w:sz w:val="20"/>
          <w:u w:val="single"/>
        </w:rPr>
        <w:t>plus</w:t>
      </w:r>
    </w:p>
    <w:p>
      <w:pPr>
        <w:pStyle w:val="TextBody"/>
        <w:bidi w:val="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consolidated capitalized interest of such Person and its Restricted Subsidiaries for such period, whether paid or accrued.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Leverage Ratio</w:t>
      </w:r>
      <w:r>
        <w:rPr>
          <w:rFonts w:ascii="Times New Roman;Times;Serif" w:hAnsi="Times New Roman;Times;Serif"/>
          <w:b w:val="false"/>
          <w:i w:val="false"/>
          <w:caps w:val="false"/>
          <w:smallCaps w:val="false"/>
          <w:sz w:val="20"/>
        </w:rPr>
        <w:t>” means, as at the last day of any period, the ratio of (a) Consolidated Funded Debt on such day to (b) Consolidated EBITDA for such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Senior Secured Funded Debt</w:t>
      </w:r>
      <w:r>
        <w:rPr>
          <w:rFonts w:ascii="Times New Roman;Times;Serif" w:hAnsi="Times New Roman;Times;Serif"/>
          <w:b w:val="false"/>
          <w:i w:val="false"/>
          <w:caps w:val="false"/>
          <w:smallCaps w:val="false"/>
          <w:sz w:val="20"/>
        </w:rPr>
        <w:t>” means, at any date, Consolidated Funded Debt as of such date that is (a) secured by a Lien on any assets of the Borrower and its Restricted Subsidiaries and (b) not subordinated to the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Senior Secured Leverage Ratio</w:t>
      </w:r>
      <w:r>
        <w:rPr>
          <w:rFonts w:ascii="Times New Roman;Times;Serif" w:hAnsi="Times New Roman;Times;Serif"/>
          <w:b w:val="false"/>
          <w:i w:val="false"/>
          <w:caps w:val="false"/>
          <w:smallCaps w:val="false"/>
          <w:sz w:val="20"/>
        </w:rPr>
        <w:t>” means, as at the last day of any period, the ratio of (a) Consolidated Senior Secured Funded Debt on such day to (b) Consolidated EBITDA for such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Lender or any other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means Dollars or any Foreign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Bridge Loan</w:t>
      </w:r>
      <w:r>
        <w:rPr>
          <w:rFonts w:ascii="Times New Roman;Times;Serif" w:hAnsi="Times New Roman;Times;Serif"/>
          <w:b w:val="false"/>
          <w:i w:val="false"/>
          <w:caps w:val="false"/>
          <w:smallCaps w:val="false"/>
          <w:sz w:val="20"/>
        </w:rPr>
        <w:t xml:space="preserve">” means a customary bridge facility with an initial maturity date no longer than one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only to customary conditions, such facility will automatically convert or exchange into long-term debt with (a) a weighted average life to maturity no shorter than the weighted average life to maturity of Term Loans, if any, with the longest remaining weighted average life to maturity and (b) a final maturity date no earlier than the Latest Maturity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with respect to any applicable determination date means the SOFR published on such date on the Federal Reserve Bank of New York’s website (or any successor source).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reasonable good-faith determination that a condition precedent to funding (specifically identified and including the particular default, if any) has not been satisfied, (b) has notified the Borrower or any Credit Party in writing, or has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(d) has become the subject of a Bankruptcy Event or (e) has become the subject of a Bail-In Action. For the avoidance of doubt, it is hereby understood and agreed by all parties to this Agreement that the Defaulting Lender provisions in this Agreement shall not apply to any Person in its capacity as a Hedge Bank (as defined in the Guarantee and Collateral Agreement) or affect its status or rights as a Secured Party in respect of any Specified Swap Agreement.</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the Borrower or a Restricted Subsidiary in connection with a Disposition that is so designated as Designated Non-Cash Consideration pursuant to a certificate, setting forth the basis of such valuation, executed by the principal financial officer of the Borrower, less the amount of cash and Permitted Investments received in connection with a subsequent sale of or collection of such Designated Non-Cash Consideration.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means, on any date, (i) any Person designated by the Borrower as a “Disqualified Institution” by written notice delivered to the Administrative Agent on or prior to the Sixth Restatement Effective Date and (ii) any Affiliates of any such Persons identified under clause (i) of this definition that are clearly identifiable as Affiliates solely on the basis of such Affiliate’s legal name; provided that “Disqualified Institutions” shall exclude any Person that the Borrower has designated as no longer being a “Disqualified Institution” by written notice delivered to the Administrative Agent and the Lenders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xml:space="preserve">” means, with respect to any Person, any Capital Stock of such Person which, by its terms (or by the terms of any security into which it is convertible or for which it is putable or exchangeable, except to the extent such capital stock is exchanged into Indebtedness at the option of the issuer thereof and only subject to the terms of any debt instrument to which such Person is a party),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Final Commitment Termination Date or the date the Loans are no longer outstanding and all Commitments hereunder have been terminated;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has the meaning assigned to it in the definition of “Division.”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w:t>
      </w:r>
      <w:r>
        <w:rPr>
          <w:rFonts w:ascii="Times New Roman;Times;Serif" w:hAnsi="Times New Roman;Times;Serif"/>
          <w:b w:val="false"/>
          <w:i w:val="false"/>
          <w:caps w:val="false"/>
          <w:smallCaps w:val="false"/>
          <w:sz w:val="20"/>
        </w:rPr>
        <w:t>” means the division of the assets, liabilities and/or obligations of a Person (the “</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 Successor</w:t>
      </w:r>
      <w:r>
        <w:rPr>
          <w:rFonts w:ascii="Times New Roman;Times;Serif" w:hAnsi="Times New Roman;Times;Serif"/>
          <w:b w:val="false"/>
          <w:i w:val="false"/>
          <w:caps w:val="false"/>
          <w:smallCaps w:val="false"/>
          <w:sz w:val="20"/>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Equivalent</w:t>
      </w:r>
      <w:r>
        <w:rPr>
          <w:rFonts w:ascii="Times New Roman;Times;Serif" w:hAnsi="Times New Roman;Times;Serif"/>
          <w:b w:val="false"/>
          <w:i w:val="false"/>
          <w:caps w:val="false"/>
          <w:smallCaps w:val="false"/>
          <w:sz w:val="20"/>
        </w:rPr>
        <w:t>” means, with respect to any Borrowing or any Letter of Credit issuance, in each case, denominated in any Foreign Currency, the amount of Dollars that would be required to purchase the amount of the Foreign Currency of such Borrowing on the date of such Borrowing or such issuance (or, in the case of any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made under Section 2.11(c) or redenomination under the last sentence of Section 2.18(a), on the date of determination or redenomination therein referred to), based upon the Spot Rate.</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Restricted Subsidiary of the Borrower organized under the laws of any jurisdiction within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March 18, 2011.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English Pounds Sterling</w:t>
      </w:r>
      <w:r>
        <w:rPr>
          <w:rFonts w:ascii="Times New Roman;Times;Serif" w:hAnsi="Times New Roman;Times;Serif"/>
          <w:b w:val="false"/>
          <w:i w:val="false"/>
          <w:caps w:val="false"/>
          <w:smallCaps w:val="false"/>
          <w:sz w:val="20"/>
        </w:rPr>
        <w:t>” means the lawful currency of the United Kingdom.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laws (including common law), statutes, treaties,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harmful or deleterious substances or to health and safety matters.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Group Member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 any entity, whether or not incorporated, that is under common control with a Group Member within the meaning of Section 4001 (a)(14) of ERISA; (b) any corporation which is a member of a controlled group of corporations within the meaning of Section 414(b) of the Code of which a Group Member is a member; (c) any trade or business (whether or not incorporated) which is a member of a group of trades or businesses under common control within the meaning of Section 414(c) of the Code of which a Group Member is a member; and (d) with respect to any Group Member, any member of an affiliated service group within the meaning of Section 414(m) or (o) of the Code of which that Group Member, any corporation described in clause (b) above or any trade or business described in clause (c) above is a member.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the existence with respect to any Plan of any non-exempt Prohibited Transaction; (b) any Reportable Event; (c) any failure by any Plan to satisfy the minimum funding standards (within the meaning of Section 412 of the Code or Section 302 of ERISA), whether or not waived; (d) the failure of any Group Member or any ERISA Affiliate to make by its due date a required installment under Section 430(j) of the Code with respect to any Plan, any required contribution to a Multiemployer Plan, or (after the expiration of any applicable grace period) any installment payment with respect to Withdrawal Liability under Section 4201 of ERISA; (e) a determination that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Plan is, or is expected to be, in “at risk” status (within the meaning of Section 430 of the Code or Section 303 of ERISA); (f) the receipt by any Group Member or any of its ERISA Affiliates from the PBGC or a plan administrator of any notice relating to an intention to terminate any Plan or Plans or to appoint a trustee to administer any Plan under Section 4042 of ERISA; (g) the incurrence by any Group Member or any of its ERISA Affiliates of any liability under Title IV of ERISA with respect to the termination of any Plan, including but not limited to the imposition of any Lien in favor of the PBGC or any Plan; (h) the incurrence by any Group Member or any of its ERISA Affiliates of any liability with respect to the withdrawal or partial withdrawal (including under Section 4062(e) of ERISA) from any Plan or Multiemployer Plan; (i) the receipt by any Group Member or any ERISA Affiliate of any notice, or the receipt by any Multiemployer Plan from a Group Member or any ERISA Affiliate of any notice, concerning the imposition of Withdrawal Liability or a determination that a Multiemployer Plan is, or is expected to be, Insolvent, “terminated” (within the meaning of Section 4041A of ERISA), or in “endangered” or “critical” status (within the meaning of Section 432 of the Code or Section 305 of ERISA); or (j) a Foreign Plan Event.</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ESOP</w:t>
      </w:r>
      <w:r>
        <w:rPr>
          <w:rFonts w:ascii="Times New Roman;Times;Serif" w:hAnsi="Times New Roman;Times;Serif"/>
          <w:b w:val="false"/>
          <w:i w:val="false"/>
          <w:caps w:val="false"/>
          <w:smallCaps w:val="false"/>
          <w:sz w:val="20"/>
        </w:rPr>
        <w:t>” means the Griffon Employee Stock Ownership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ESOP Loan</w:t>
      </w:r>
      <w:r>
        <w:rPr>
          <w:rFonts w:ascii="Times New Roman;Times;Serif" w:hAnsi="Times New Roman;Times;Serif"/>
          <w:b w:val="false"/>
          <w:i w:val="false"/>
          <w:caps w:val="false"/>
          <w:smallCaps w:val="false"/>
          <w:sz w:val="20"/>
        </w:rPr>
        <w:t>” means an extension of credit to the ESOP made or guaranteed by the Borrower or any ERISA Affiliate pursuant to the terms of the ESOP.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ESOP Purchases</w:t>
      </w:r>
      <w:r>
        <w:rPr>
          <w:rFonts w:ascii="Times New Roman;Times;Serif" w:hAnsi="Times New Roman;Times;Serif"/>
          <w:b w:val="false"/>
          <w:i w:val="false"/>
          <w:caps w:val="false"/>
          <w:smallCaps w:val="false"/>
          <w:sz w:val="20"/>
        </w:rPr>
        <w:t>” means tax-deductible contributions by the Borrower or any ERISA Affiliate to the ESOP for the purpose of repaying any ESOP Loan or any annual installment thereof, pursuant to the terms of the ESOP.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means the single currency of Participating Member States of the European Union, which shall be an Agreed Foreign Currency and a Foreign Currency under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set forth in Article VIII.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Foreign Subsidiary</w:t>
      </w:r>
      <w:r>
        <w:rPr>
          <w:rFonts w:ascii="Times New Roman;Times;Serif" w:hAnsi="Times New Roman;Times;Serif"/>
          <w:b w:val="false"/>
          <w:i w:val="false"/>
          <w:caps w:val="false"/>
          <w:smallCaps w:val="false"/>
          <w:sz w:val="20"/>
        </w:rPr>
        <w:t>” means any Foreign Subsidiary of the Borrower or any Subsidiary in respect of which either (a) the pledge of more than 65% of the Capital Stock of such Subsidiary as Collateral or (b) the guaranteeing by such Subsidiary of the Obligations, would, in the good faith judgment of the Borrower, result in adverse tax consequences to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with respect to the Administrative Agent, any Lender, any Issuing Lender or any other recipient of any payment to be made by or on account of any obligation of the Borrower hereunder, (a) income or franchise taxes imposed on (or measured by) its net income, net profits, net gains, revenue, or any similar tax imposed in lieu of net income taxes, or any branch profits taxes or similar taxes, in each case imposed as a result of a present or former connection between the recipient and the taxing jurisdiction or any political subdivision thereof (other than a connection arising solely from such recipient entering into, delivering, performing its obligations under, enforcing, or receiving payments under, this Agreement or any other Loan Document), (b) any taxes imposed pursuant to FATCA and (c) in the case of any person (other than an assignee pursuant to a request by the Borrower under Section 2.19(b)), any United States withholding tax or a withholding tax imposed by a jurisdiction referred to in clause (a) that is imposed on amounts payable to such Lender at the time such Lender becomes a party to this Agreement (or designates a new Lending Office) or is attributable to such Lender’s failure to comply with Section 2.17(f) or (g), except to the extent that such Lender (or its assignor, if any) was entitled, at the time of designation of a new Lending Office or assignment, to receive additional amounts pursuant to Section 2.17(a) (which, for the avoidance of doubt, shall be applied on a Lender-by-Lender basis).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Agreements</w:t>
      </w:r>
      <w:r>
        <w:rPr>
          <w:rFonts w:ascii="Times New Roman;Times;Serif" w:hAnsi="Times New Roman;Times;Serif"/>
          <w:b w:val="false"/>
          <w:i w:val="false"/>
          <w:caps w:val="false"/>
          <w:smallCaps w:val="false"/>
          <w:sz w:val="20"/>
        </w:rPr>
        <w:t>” means (i) the Credit Agreement, dated as of March 31, 2008, among Gritel Holding Co., Inc., as holdings, Telephonics Corporation, as borrower, the lenders party thereto from time to time, and JPMorgan Chase Bank, N.A., as administrative agent, (ii) the Credit Agreement, dated as of September 30, 2010, among Clopay Ames True Temper LLC, as holdings, Clopay Ames True Temper Holding Corp., as borrower, certain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of Clopay Ames True Temper Holding Corp., as guarantors, the lenders party thereto from time to time, and JPMorgan Chase Bank, N.A., as administrative agent and (iii) the Credit Agreement, dated as of September 30, 2010, among Clopay Ames True Temper LLC, as holdings, Clopay Ames True Temper Holding Corp., as borrower, certain subsidiaries of Clopay Ames True Temper Holding Corp., as guarantors, the lenders party thereto from time to time, and Goldman Sachs Lending Partners LLC, as administrative agent.</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has the meaning set forth in Section 2.04(a).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Revolving Loans</w:t>
      </w:r>
      <w:r>
        <w:rPr>
          <w:rFonts w:ascii="Times New Roman;Times;Serif" w:hAnsi="Times New Roman;Times;Serif"/>
          <w:b w:val="false"/>
          <w:i w:val="false"/>
          <w:caps w:val="false"/>
          <w:smallCaps w:val="false"/>
          <w:sz w:val="20"/>
        </w:rPr>
        <w:t>” means the “Revolving Loans” outstanding under this Agreement immediately prior to giving effect to the Sixth Restatement on the Sixth Restatement Effective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Commitment</w:t>
      </w:r>
      <w:r>
        <w:rPr>
          <w:rFonts w:ascii="Times New Roman;Times;Serif" w:hAnsi="Times New Roman;Times;Serif"/>
          <w:b w:val="false"/>
          <w:i w:val="false"/>
          <w:caps w:val="false"/>
          <w:smallCaps w:val="false"/>
          <w:sz w:val="20"/>
        </w:rPr>
        <w:t>” has the meaning set forth in Section 2.21(a).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Loans</w:t>
      </w:r>
      <w:r>
        <w:rPr>
          <w:rFonts w:ascii="Times New Roman;Times;Serif" w:hAnsi="Times New Roman;Times;Serif"/>
          <w:b w:val="false"/>
          <w:i w:val="false"/>
          <w:caps w:val="false"/>
          <w:smallCaps w:val="false"/>
          <w:sz w:val="20"/>
        </w:rPr>
        <w:t>” has the meaning set forth in Section 2.21(a).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Term Loans</w:t>
      </w:r>
      <w:r>
        <w:rPr>
          <w:rFonts w:ascii="Times New Roman;Times;Serif" w:hAnsi="Times New Roman;Times;Serif"/>
          <w:b w:val="false"/>
          <w:i w:val="false"/>
          <w:caps w:val="false"/>
          <w:smallCaps w:val="false"/>
          <w:sz w:val="20"/>
        </w:rPr>
        <w:t>” has the meaning set forth in Section 2.21(a).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has the meaning set forth in Section 2.21(a).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Offer</w:t>
      </w:r>
      <w:r>
        <w:rPr>
          <w:rFonts w:ascii="Times New Roman;Times;Serif" w:hAnsi="Times New Roman;Times;Serif"/>
          <w:b w:val="false"/>
          <w:i w:val="false"/>
          <w:caps w:val="false"/>
          <w:smallCaps w:val="false"/>
          <w:sz w:val="20"/>
        </w:rPr>
        <w:t>” has the meaning set forth in Section 2.21(a).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Revolving Facility or any other Term Loan Facility.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(and any amended or successor version that is substantively comparable, but only if the requirements in such amended or successor version for avoiding the withholding are not materially more onerous than the requirements in the current version), any current or future regulations or official interpretations thereof, any agreement entered into pursuant to Section 1471(b)(1) of the Code, and any law, regulation, rule or practice implementing an intergovernmental agreement entered into in connection with the implementation of any such section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Rate as so determined would be less than zero, such rate shall be deemed to be zero for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 48</w:t>
      </w:r>
      <w:r>
        <w:rPr>
          <w:rFonts w:ascii="Times New Roman;Times;Serif" w:hAnsi="Times New Roman;Times;Serif"/>
          <w:b w:val="false"/>
          <w:i w:val="false"/>
          <w:caps w:val="false"/>
          <w:smallCaps w:val="false"/>
          <w:sz w:val="20"/>
        </w:rPr>
        <w:t>” has the meaning set forth in Section 4.09.</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Commitment Termination Date</w:t>
      </w:r>
      <w:r>
        <w:rPr>
          <w:rFonts w:ascii="Times New Roman;Times;Serif" w:hAnsi="Times New Roman;Times;Serif"/>
          <w:b w:val="false"/>
          <w:i w:val="false"/>
          <w:caps w:val="false"/>
          <w:smallCaps w:val="false"/>
          <w:sz w:val="20"/>
        </w:rPr>
        <w:t>” means, as at any date, the latest to occur of (a) the Revolving Commitment Termination Date, (b) the termination date in respect of any outstanding Extended Revolving Commitments and (c) the Maturity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 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 Facilities</w:t>
      </w:r>
      <w:r>
        <w:rPr>
          <w:rFonts w:ascii="Times New Roman;Times;Serif" w:hAnsi="Times New Roman;Times;Serif"/>
          <w:b w:val="false"/>
          <w:i w:val="false"/>
          <w:caps w:val="false"/>
          <w:smallCaps w:val="false"/>
          <w:sz w:val="20"/>
        </w:rPr>
        <w:t>” means, collectively, the Revolving Facility and any other facility hereunder designated as such pursuant to any amendment to this Agreement (which may, at the option of the Administrative Agent and the Borrower, be in the form of an amendment or an amendment and restatement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chief financial officer, principal accounting officer, treasurer or controller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Fifth Restatement Effective Date</w:t>
      </w:r>
      <w:r>
        <w:rPr>
          <w:rFonts w:ascii="Times New Roman;Times;Serif" w:hAnsi="Times New Roman;Times;Serif"/>
          <w:b w:val="false"/>
          <w:i w:val="false"/>
          <w:caps w:val="false"/>
          <w:smallCaps w:val="false"/>
          <w:sz w:val="20"/>
        </w:rPr>
        <w:t>” means January 24, 2022.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Amendment Effective Date</w:t>
      </w:r>
      <w:r>
        <w:rPr>
          <w:rFonts w:ascii="Times New Roman;Times;Serif" w:hAnsi="Times New Roman;Times;Serif"/>
          <w:b w:val="false"/>
          <w:i w:val="false"/>
          <w:caps w:val="false"/>
          <w:smallCaps w:val="false"/>
          <w:sz w:val="20"/>
        </w:rPr>
        <w:t>” means August 1, 2023.</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Restated Credit Agreement</w:t>
      </w:r>
      <w:r>
        <w:rPr>
          <w:rFonts w:ascii="Times New Roman;Times;Serif" w:hAnsi="Times New Roman;Times;Serif"/>
          <w:b w:val="false"/>
          <w:i w:val="false"/>
          <w:caps w:val="false"/>
          <w:smallCaps w:val="false"/>
          <w:sz w:val="20"/>
        </w:rPr>
        <w:t>” has the meaning set forth in the recitals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Restatement Effective Date</w:t>
      </w:r>
      <w:r>
        <w:rPr>
          <w:rFonts w:ascii="Times New Roman;Times;Serif" w:hAnsi="Times New Roman;Times;Serif"/>
          <w:b w:val="false"/>
          <w:i w:val="false"/>
          <w:caps w:val="false"/>
          <w:smallCaps w:val="false"/>
          <w:sz w:val="20"/>
        </w:rPr>
        <w:t>” means March 28, 2013.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means, with respect to any Person for any period, the sum, without duplication, of:</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Consolidated Interest Expense of such Person for such period; and</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cash dividends or other distributions paid (excluding items eliminated in consolidation) on any series of preferred stock of such Person during such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means at any time any Currency other than Dollars.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Currency Equivalent</w:t>
      </w:r>
      <w:r>
        <w:rPr>
          <w:rFonts w:ascii="Times New Roman;Times;Serif" w:hAnsi="Times New Roman;Times;Serif"/>
          <w:b w:val="false"/>
          <w:i w:val="false"/>
          <w:caps w:val="false"/>
          <w:smallCaps w:val="false"/>
          <w:sz w:val="20"/>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each employee pension benefit plan (within the meaning of Section 3(2) of ERISA, whether or not subject to ERISA) that is subject to Applicable Law that is similar to the provisions of Title IV of ERISA or Section 412 of the Code or Section 302 of ERISA, and is maintained or contributed to by any Group Member or any ERISA Affiliate for the benefit of employees of any Group Member or any ERISA Affiliate employed and residing outside the United States.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 Event</w:t>
      </w:r>
      <w:r>
        <w:rPr>
          <w:rFonts w:ascii="Times New Roman;Times;Serif" w:hAnsi="Times New Roman;Times;Serif"/>
          <w:b w:val="false"/>
          <w:i w:val="false"/>
          <w:caps w:val="false"/>
          <w:smallCaps w:val="false"/>
          <w:sz w:val="20"/>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Foreign Plan required to be registered; or (c) the failure of any Foreign Plan to comply with any provisions of Applicable Law or regulations or with the terms of such Foreign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of the Borrower that is not a Domestic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 Restatement Effective Date</w:t>
      </w:r>
      <w:r>
        <w:rPr>
          <w:rFonts w:ascii="Times New Roman;Times;Serif" w:hAnsi="Times New Roman;Times;Serif"/>
          <w:b w:val="false"/>
          <w:i w:val="false"/>
          <w:caps w:val="false"/>
          <w:smallCaps w:val="false"/>
          <w:sz w:val="20"/>
        </w:rPr>
        <w:t>” means January 30, 2020.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with respect to any Issuing Lender,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Disposition Basket Amount</w:t>
      </w:r>
      <w:r>
        <w:rPr>
          <w:rFonts w:ascii="Times New Roman;Times;Serif" w:hAnsi="Times New Roman;Times;Serif"/>
          <w:b w:val="false"/>
          <w:i w:val="false"/>
          <w:caps w:val="false"/>
          <w:smallCaps w:val="false"/>
          <w:sz w:val="20"/>
        </w:rPr>
        <w:t>” means an amount at any time equal to 20.0% of the consolidated assets of the Borrower and its Restricted Subsidiaries, calculated as of the end of the immediately preceding fiscal quarter (for which financial statements have been delivered prior to the first day of such quarter)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Intercompany Note</w:t>
      </w:r>
      <w:r>
        <w:rPr>
          <w:rFonts w:ascii="Times New Roman;Times;Serif" w:hAnsi="Times New Roman;Times;Serif"/>
          <w:b w:val="false"/>
          <w:i w:val="false"/>
          <w:caps w:val="false"/>
          <w:smallCaps w:val="false"/>
          <w:sz w:val="20"/>
        </w:rPr>
        <w:t>” means a promissory note, in form and substance reasonably satisfactory to the Administrative Agent, evidencing Indebtedness owed among the Loan Parties and their Subsidiaries, as amended, restated or replaced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 Members</w:t>
      </w:r>
      <w:r>
        <w:rPr>
          <w:rFonts w:ascii="Times New Roman;Times;Serif" w:hAnsi="Times New Roman;Times;Serif"/>
          <w:b w:val="false"/>
          <w:i w:val="false"/>
          <w:caps w:val="false"/>
          <w:smallCaps w:val="false"/>
          <w:sz w:val="20"/>
        </w:rPr>
        <w:t>” means the collective reference to the Borrower and its Restricted Subsidiaries.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 and Collateral Agreement</w:t>
      </w:r>
      <w:r>
        <w:rPr>
          <w:rFonts w:ascii="Times New Roman;Times;Serif" w:hAnsi="Times New Roman;Times;Serif"/>
          <w:b w:val="false"/>
          <w:i w:val="false"/>
          <w:caps w:val="false"/>
          <w:smallCaps w:val="false"/>
          <w:sz w:val="20"/>
        </w:rPr>
        <w:t>” means the Guarantee and Collateral Agreement, dated as of March 18, 2011, made by the Loan Parties in favor of Administrative Agent, as amended and modified by the Amendment to Guarantee and Collateral Agreement, dated as of March 28, 2013, as further amended and modified by the Second Amendment to Guarantee and Collateral Agreement, dated as of June 2, 2017, and as the same shall be further amended, restated, amended and restated, modified and supplemented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asbestos or asbestos containing materials, perfluoroalkyl and polyfluoroalkyl substances, polychlorinated biphenyls, radon gas, infectious or medical wastes and all other substances or wastes of any nature regulated pursuant to, or that could rise to liability under, any Environmental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xml:space="preserve">” means, as of any date of determination, any Subsidiary (for the avoidance of doubt, excluding any Unrestricted Subsidiary or Subsidiary thereof) of any Loan Party if the Net Book Value of such Subsidiary does not exceed 10% of the Net Book Value of the Group Members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of any date of determination, the aggregate Net Book Value of all Immaterial Subsidiaries may not exceed 15% of the Net Book Value of the Group Members as a whole (and the Borrower will designate in writing to the Administrative Agent from time to time the Subsidiaries which will cease to be treated as “Immaterial Subsidiaries” in order to comply with this definition).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Effective Date</w:t>
      </w:r>
      <w:r>
        <w:rPr>
          <w:rFonts w:ascii="Times New Roman;Times;Serif" w:hAnsi="Times New Roman;Times;Serif"/>
          <w:b w:val="false"/>
          <w:i w:val="false"/>
          <w:caps w:val="false"/>
          <w:smallCaps w:val="false"/>
          <w:sz w:val="20"/>
        </w:rPr>
        <w:t>” has the meaning set forth in Section 2.08(a).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Available Amount</w:t>
      </w:r>
      <w:r>
        <w:rPr>
          <w:rFonts w:ascii="Times New Roman;Times;Serif" w:hAnsi="Times New Roman;Times;Serif"/>
          <w:b w:val="false"/>
          <w:i w:val="false"/>
          <w:caps w:val="false"/>
          <w:smallCaps w:val="false"/>
          <w:sz w:val="20"/>
        </w:rPr>
        <w:t>” means, at any time, the greater of the Incremental Fixed Amount and the Incremental Ratio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has the meaning set forth in Section 2.08(a).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Equivalent Debt</w:t>
      </w:r>
      <w:r>
        <w:rPr>
          <w:rFonts w:ascii="Times New Roman;Times;Serif" w:hAnsi="Times New Roman;Times;Serif"/>
          <w:b w:val="false"/>
          <w:i w:val="false"/>
          <w:caps w:val="false"/>
          <w:smallCaps w:val="false"/>
          <w:sz w:val="20"/>
        </w:rPr>
        <w:t>” means Indebtedness (in the form of senior secured first lien loans or notes, junior lien loans or notes, subordinated unsecured loans or notes or senior unsecured loans or notes, in each case, issued in a public offering, Rule 144A or other private placement or purchase or otherwise, or Customary Bridge Loan in lieu of the foregoing, or junior lien secured or unsecured “mezzanine” debt) of the Borrower in an amount not to exceed the then available Incremental Available Amount and to the extent that the Borrower shall have been permitted to incur or issue such Indebtedness pursuant to, and such Indebtedness shall be deemed to be incurred in reliance on, Section 2.08; provided that (A) upon the effectiveness of such Indebtedness, except in connection with a Limited Condition Transaction (in which case no Event of Default shall have occurred and is continuing or would result therefrom), no Default or Event of Default has occurred and is continuing or shall result therefrom, (B) such Indebtedness shall not be subject to any Guarantee by any Person other than a Loan Party, (C) in the case of such Indebtedness that is secured, the obligations in respect thereof shall not be secured by any Lien on any asset of any Person other than an asset constituting Collateral, (D) (i) if such Indebtedness is secured on a pari passu basis with the Liens on the Collateral securing the Obligations, such Indebtedness shall be subject to customary intercreditor arrangements reasonably satisfactory to the Administrative Agent and the Borrower, (ii) if such Indebtedness is secured on a junior priority basis to the Liens on the Collateral securing the Obligations, such Indebtedness shall be subject to customary intercreditor arrangements reasonably satisfactory to the Administrative Agent and the Borrower,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(iii) if such Indebtedness is payment subordinated, shall be subject to a subordination agreement on terms that are reasonably acceptable to the Administrative Agent and the Borrower, (E) be subject to the applicable terms and conditions set forth in Section 2.08(d) (iii) and (iv) with respect to an Incremental Term Loan,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and (F) the other terms and conditions of such Indebtedness (excluding pricing, optional prepayment or redemption terms) shall reflect market terms and conditions on the date of incurrence or issuance of such Indebtedness (as reasonably determined by the Borrower in good faith).</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Fixed Amount</w:t>
      </w:r>
      <w:r>
        <w:rPr>
          <w:rFonts w:ascii="Times New Roman;Times;Serif" w:hAnsi="Times New Roman;Times;Serif"/>
          <w:b w:val="false"/>
          <w:i w:val="false"/>
          <w:caps w:val="false"/>
          <w:smallCaps w:val="false"/>
          <w:sz w:val="20"/>
        </w:rPr>
        <w:t>” means, at any time, (x) $500,000,000 minus (y) the aggregate principal amount outstanding at such time of all Incremental Loans, Incremental Commitments and Incremental Equivalent Debt incurred or issued in reliance on the Incremental Fixed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Loans</w:t>
      </w:r>
      <w:r>
        <w:rPr>
          <w:rFonts w:ascii="Times New Roman;Times;Serif" w:hAnsi="Times New Roman;Times;Serif"/>
          <w:b w:val="false"/>
          <w:i w:val="false"/>
          <w:caps w:val="false"/>
          <w:smallCaps w:val="false"/>
          <w:sz w:val="20"/>
        </w:rPr>
        <w:t>” means Incremental Revolving Loans and Incremental Term Loans.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Ratio Amount</w:t>
      </w:r>
      <w:r>
        <w:rPr>
          <w:rFonts w:ascii="Times New Roman;Times;Serif" w:hAnsi="Times New Roman;Times;Serif"/>
          <w:b w:val="false"/>
          <w:i w:val="false"/>
          <w:caps w:val="false"/>
          <w:smallCaps w:val="false"/>
          <w:sz w:val="20"/>
        </w:rPr>
        <w:t>” means an aggregate principal amount such that, immediately after giving effect to the incurrence of the relevant Incremental Equivalent Debt and/or the relevant Incremental Facilities, as applicable (and (x) treating any commitments being so incurred as fully drawn for purposes of such calculation and (y) treating any unsecured Incremental Equivalent Debt and/or Incremental Facilities, as applicable, being so incurred as Consolidated Senior Secured Funded Debt for purposes of testing the Incremental Ratio Amount), the use of proceeds thereof and any related pro forma adjustment thereto, the Borrower’s Consolidated Senior Secured Leverage Ratio does not exceed 3.50 to 1.00 calculated on a pro forma basis as of the last day of the most recently ended fiscal quarter for which financial statements have been delivered.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Commitments</w:t>
      </w:r>
      <w:r>
        <w:rPr>
          <w:rFonts w:ascii="Times New Roman;Times;Serif" w:hAnsi="Times New Roman;Times;Serif"/>
          <w:b w:val="false"/>
          <w:i w:val="false"/>
          <w:caps w:val="false"/>
          <w:smallCaps w:val="false"/>
          <w:sz w:val="20"/>
        </w:rPr>
        <w:t>” has the meaning set forth in Section 2.08(a).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Loans</w:t>
      </w:r>
      <w:r>
        <w:rPr>
          <w:rFonts w:ascii="Times New Roman;Times;Serif" w:hAnsi="Times New Roman;Times;Serif"/>
          <w:b w:val="false"/>
          <w:i w:val="false"/>
          <w:caps w:val="false"/>
          <w:smallCaps w:val="false"/>
          <w:sz w:val="20"/>
        </w:rPr>
        <w:t>” means any loans made pursuant to an Incremental Revolving Facility.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Commitments</w:t>
      </w:r>
      <w:r>
        <w:rPr>
          <w:rFonts w:ascii="Times New Roman;Times;Serif" w:hAnsi="Times New Roman;Times;Serif"/>
          <w:b w:val="false"/>
          <w:i w:val="false"/>
          <w:caps w:val="false"/>
          <w:smallCaps w:val="false"/>
          <w:sz w:val="20"/>
        </w:rPr>
        <w:t>” has the meaning set forth in Section 2.08(a).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Loans</w:t>
      </w:r>
      <w:r>
        <w:rPr>
          <w:rFonts w:ascii="Times New Roman;Times;Serif" w:hAnsi="Times New Roman;Times;Serif"/>
          <w:b w:val="false"/>
          <w:i w:val="false"/>
          <w:caps w:val="false"/>
          <w:smallCaps w:val="false"/>
          <w:sz w:val="20"/>
        </w:rPr>
        <w:t>” means any loans made pursuant to an Incremental Term Facility.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Taxes, other than Excluded Taxes, imposed with respect to any payment made by or on account of any obligation of any Loan Party under any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has the meaning set forth in Section 10.03(b).</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has the meaning set forth in Section 10.13.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Insolvent</w:t>
      </w:r>
      <w:r>
        <w:rPr>
          <w:rFonts w:ascii="Times New Roman;Times;Serif" w:hAnsi="Times New Roman;Times;Serif"/>
          <w:b w:val="false"/>
          <w:i w:val="false"/>
          <w:caps w:val="false"/>
          <w:smallCaps w:val="false"/>
          <w:sz w:val="20"/>
        </w:rPr>
        <w:t>” with respect to any Multiemployer Plan, means insolvent within the meaning of Section 4245 of ERISA.</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means a notice of (a) a conversion of Loans from one Type to the other or (b) a continuation of Term SOFR Loans or Alternative Currency Term Rate Loans, which shall be substantially in the form of Exhibit G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 with respect to any ABR Loan, each Quarterly Date; (b) with respect to any Term SOFR Loan, the last day of each Interest Period therefor and, in the case of any Interest Period of more than three months’ duration, each day prior to the last day of such Interest Period that occurs at three-month intervals after the first day of such Interest Period; (c) as to any Alternative Currency Daily Rate Loan, the last Business Day of each month; (d) as to any Alternative Currency Term Rate Loan, the last day of each Interest Period applicable to such Loan; (e) with respect to any Existing Revolving Loans, the Sixth Restatement Effective Date and (f) the applicable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Interest Period for an Alternative Currency Term Rate Loan exceeds three months, the respective dates that fall every three months after the beginning of such Interest Period shall be Interest Payment Dates.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for any Alternative Currency Term Rate Loan or Borrowing or any Term SOFR Loan or Borrowing, the period commencing on the date of such Loan or Borrowing and ending on the numerically corresponding day in the calendar month that is one, three or six months (or, if available to all Lenders, twelve months) thereafter or, with respect to such portion of any Alternative Currency Term Rate Loan or Borrowing or any Term SOFR Loan or Borrowing, in each case, denominated in a Foreign Currency that is scheduled to be repaid on the Final Commitment Termination Date, a period of less than one month’s duration commencing on the date of such Loan or Borrowing and ending on the Final Commitment Termination Date, as specified in the applicable Borrowing Request or Interest Election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an Alternative Currency Term Rate Borrowing or a Term SOFR Borrowing, in each case, denominated in a Foreign Currency that ends on the Final Commitment Termination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Borrowing comprising Loans that have been converted or continued shall be the effective date of the most recent conversion or continuation of such Loans.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by any Person, (a) the amount paid or committed to be paid, or the value of property or services contributed or committed to be contributed, by such person for or in connection with the acquisition by such Person of any stock, bonds, notes, debentures, partnership or other ownership interests or other securities of any other Person and (b) the amount of any advance, loan or extension of credit by such Person, to any other Person, or guaranty or other similar obligation of such Person with respect to any Indebtedness of such other Person (other than Indebtedness constituting trade payables in the ordinary course of business), and (without duplication) any amount committed to be advanced, loaned, or extended by such Person to any other Person, or any amount the payment of which is committed to be assured by a guaranty or similar obligation by such Person for the benefit of, such other Person. For purposes of the definition of “Unrestricted Subsidiary” and Section 7.06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“Investments” shall include the portion (proportionate to the Borrower’s equity interest in such Subsidiary) of the fair market value of the net assets of a Subsidiary of the Borrower at the time that such Subsidiary is designated an Unrestricted Subsidiary; provided, however, that upon a redesignation of such Subsidiary as a Restricted Subsidiary, the Borrower shall be deemed to continue to have a permanent “Investment” in an Unrestricted Subsidiary in an amount (if positive) equal to:</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“Investment” in such Subsidiary at the time of such redesignation based on the fair market value of such Investment as determined by the board of directors of the Borrower; less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portion (proportionate to the Borrower’s equity interest in such Subsidiary) of the fair market value of the net assets of such Subsidiary at the time of such redesignation;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property transferred to or from an Unrestricted Subsidiary shall be valued at its fair market value at the time of such transfer.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Documents</w:t>
      </w:r>
      <w:r>
        <w:rPr>
          <w:rFonts w:ascii="Times New Roman;Times;Serif" w:hAnsi="Times New Roman;Times;Serif"/>
          <w:b w:val="false"/>
          <w:i w:val="false"/>
          <w:caps w:val="false"/>
          <w:smallCaps w:val="false"/>
          <w:sz w:val="20"/>
        </w:rPr>
        <w:t>” means with respect to any Letter of Credit, the Letter of Credit Application, and any other document, agreement and instrument entered into by any Issuing Lender and the Borrower (or any Restricted Subsidiary) or in favor of such Issuing Lender and relating to such Letter of Credit.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Lender</w:t>
      </w:r>
      <w:r>
        <w:rPr>
          <w:rFonts w:ascii="Times New Roman;Times;Serif" w:hAnsi="Times New Roman;Times;Serif"/>
          <w:b w:val="false"/>
          <w:i w:val="false"/>
          <w:caps w:val="false"/>
          <w:smallCaps w:val="false"/>
          <w:sz w:val="20"/>
        </w:rPr>
        <w:t>” means Bank of America and any other Lender selected by the Borrower and approved by the Administrative Agent in its reasonable discretion that has agreed in its sole discretion to act as an “Issuing Lender” hereunder, or any of their respective affiliates, in each case in its capacity as the issuer of any Letter of Credit hereunder, and any successors in such capacity as provided in Section 2.04(j). Each reference herein to “the Issuing Lender” shall be deemed to be a reference to the relevant Issuing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Latest Maturity Date</w:t>
      </w:r>
      <w:r>
        <w:rPr>
          <w:rFonts w:ascii="Times New Roman;Times;Serif" w:hAnsi="Times New Roman;Times;Serif"/>
          <w:b w:val="false"/>
          <w:i w:val="false"/>
          <w:caps w:val="false"/>
          <w:smallCaps w:val="false"/>
          <w:sz w:val="20"/>
        </w:rPr>
        <w:t>” means the latest of the Revolving Commitment Termination Date and any Incremental Term Loan Maturity Date applicable to existing Incremental Term Loans, as of any date of determination.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collectively,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as to any Issuing Lender, the amount agreed from time to time by such Issuing Lender and the Borrower (and notified to the Administrative Agent) as the maximum amount of Letters of Credit that such Issuing Lender is willing to issue at any time for the account of the Borrower hereunder, with the amount of Letters of Credit issued by any Issuing Lender at any time deemed to be equal to the amount of LC Obligations at such time attributable to Letters of Credit issued by such Issuing Lender. As of the Sixth Restatement Effective Date, the LC Commitment of Bank of America is $125,000,000.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any Issuing Lender pursuant to a Letter of Credit.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with respect to each Revolving Lender at any time, such Revolving Lender’s Applicable Percentage of the Aggregate LC Exposure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means, at any time, an amount equal to the sum of (a) the aggregate then undrawn and unexpired amount of the then outstanding Letters of Credit or Dollar Equivalent thereof in the case of Letters of Credit issued in any Foreign Currency and (b) the aggregate amount of LC Disbursements, or the Dollar Equivalent thereof in case of Letters of Credit issued in any Foreign Currency, that have not then been reimbursed pursuant to Section 2.04(f).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has the meaning set forth in the preamble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standby or trade letter of credit issued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Application</w:t>
      </w:r>
      <w:r>
        <w:rPr>
          <w:rFonts w:ascii="Times New Roman;Times;Serif" w:hAnsi="Times New Roman;Times;Serif"/>
          <w:b w:val="false"/>
          <w:i w:val="false"/>
          <w:caps w:val="false"/>
          <w:smallCaps w:val="false"/>
          <w:sz w:val="20"/>
        </w:rPr>
        <w:t>” means an application and agreement for the issuance or amendment of a Letter of Credit in the form from time to time in use by the applicable Issuing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(x) any acquisition (including acquisitions subject to a letter of intent or purchase agreement) or other similar investment, including by way of merger, by the Borrower or one or more of its Restricted Subsidiaries permitted pursuant to this Agreement whose consummation is not conditioned upon the availability of, or on obtaining, third party financing and (y) any redemption, repurchase, defeasance, satisfaction and discharge or repayment of indebtedness requiring irrevocable notice in advance of such redemption, repurchase, satisfaction and discharge or repayment.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collectively, this Agreement, the Issuer Documents, the Security Documents and any amendments, modifications or supplements hereto or to any other Loan Document or waivers hereof or to any other Loan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the Borrower and any Subsidiary Guarantor.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made by the Lenders to the Borrower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Time</w:t>
      </w:r>
      <w:r>
        <w:rPr>
          <w:rFonts w:ascii="Times New Roman;Times;Serif" w:hAnsi="Times New Roman;Times;Serif"/>
          <w:b w:val="false"/>
          <w:i w:val="false"/>
          <w:caps w:val="false"/>
          <w:smallCaps w:val="false"/>
          <w:sz w:val="20"/>
        </w:rPr>
        <w:t>” means, with respect to any Loan denominated in or any payment to be made in any Currency, the local time in the Principal Financial Center for the Currency in which such Loan is denominated or such payment is to be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within the meaning of Regulations T, U and X of the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property, operation or condition (financial or otherwise) of the Group Members, taken as a whole, (b) validity or enforceability of the material provisions of any of the Loan Documents or (c) the material rights or remedies of the Administrative Agent and the Lenders hereunder or under any of the other Loan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Indebtedness (other than the Loans and Letters of Credit), or obligations in respect of one or more Swap Agreements, of any one or more Group Members in an aggregate principal amount exceeding $75,000,000. For purposes of determining Material Indebtedness,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of the obligations of any Person in respect of any Swap Agreement at any time shall be the maximum aggregate amount (giving effect to any netting agreements) that such Person would be required to pay if such Swap Agreement were terminated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Revolving Commitment Termination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Extension Condition</w:t>
      </w:r>
      <w:r>
        <w:rPr>
          <w:rFonts w:ascii="Times New Roman;Times;Serif" w:hAnsi="Times New Roman;Times;Serif"/>
          <w:b w:val="false"/>
          <w:i w:val="false"/>
          <w:caps w:val="false"/>
          <w:smallCaps w:val="false"/>
          <w:sz w:val="20"/>
        </w:rPr>
        <w:t>” has the meaning set forth in Section 2.21(b).</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Book Value</w:t>
      </w:r>
      <w:r>
        <w:rPr>
          <w:rFonts w:ascii="Times New Roman;Times;Serif" w:hAnsi="Times New Roman;Times;Serif"/>
          <w:b w:val="false"/>
          <w:i w:val="false"/>
          <w:caps w:val="false"/>
          <w:smallCaps w:val="false"/>
          <w:sz w:val="20"/>
        </w:rPr>
        <w:t>” means, with respect to any Subsidiary, the net book value of the total assets of such Subsidiary determined in accordance with GAAP but excluding intangible assets and book value attributable to (i) an Investment in another Subsidiary to the extent the assets of such other Subsidiary are otherwise included in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aggregate Net Book Value, (ii) deferred taxes, (iii) deferred financing costs, (iv) intercompany Indebtedness and (v) assets that are no longer used or useful in the business of such Subsidiary (as determined by the Borrower in good faith).</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means, with respect to any Person, the net income (loss) of such Person, determined on a consolidated basis in accordance with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means any Lender that does not approve any consent, waiver or amendment that (a) requires the approval of all Lenders or all affected Lenders in accordance with the terms of Section 10.02 and (b) has been approved by the Required Lenders (or, in the case of consents, waivers or amendments that require the approval of all or all affected Lenders of a particular Class, the Required Revolving Lenders or the Required Term Loan Lenders,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Lender</w:t>
      </w:r>
      <w:r>
        <w:rPr>
          <w:rFonts w:ascii="Times New Roman;Times;Serif" w:hAnsi="Times New Roman;Times;Serif"/>
          <w:b w:val="false"/>
          <w:i w:val="false"/>
          <w:caps w:val="false"/>
          <w:smallCaps w:val="false"/>
          <w:sz w:val="20"/>
        </w:rPr>
        <w:t>” has the meaning set forth in Section 2.17(f).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has the meaning assigned to such term in the Guarantee and Collateral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OECD</w:t>
      </w:r>
      <w:r>
        <w:rPr>
          <w:rFonts w:ascii="Times New Roman;Times;Serif" w:hAnsi="Times New Roman;Times;Serif"/>
          <w:b w:val="false"/>
          <w:i w:val="false"/>
          <w:caps w:val="false"/>
          <w:smallCaps w:val="false"/>
          <w:sz w:val="20"/>
        </w:rPr>
        <w:t>” means the Organization for Economic Cooperation and Development.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 Documents</w:t>
      </w:r>
      <w:r>
        <w:rPr>
          <w:rFonts w:ascii="Times New Roman;Times;Serif" w:hAnsi="Times New Roman;Times;Serif"/>
          <w:b w:val="false"/>
          <w:i w:val="false"/>
          <w:caps w:val="false"/>
          <w:smallCaps w:val="false"/>
          <w:sz w:val="20"/>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Credit Agreement</w:t>
      </w:r>
      <w:r>
        <w:rPr>
          <w:rFonts w:ascii="Times New Roman;Times;Serif" w:hAnsi="Times New Roman;Times;Serif"/>
          <w:b w:val="false"/>
          <w:i w:val="false"/>
          <w:caps w:val="false"/>
          <w:smallCaps w:val="false"/>
          <w:sz w:val="20"/>
        </w:rPr>
        <w:t>” has the meaning set forth in the recitals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any and all present or future stamp or documentary taxes or any other similar excise or property taxes, charges or levies arising from any payment made under any Loan Document or from the execution, delivery or enforcement of, or otherwise with respect to, any Loan Document, including any interest, additions to tax or penalties applicable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means, with respect to any Term Loans under any Term Loan Facility on any date, the Dollar Equivalent of the aggregate outstanding principal amount thereof after giving effect to any borrowings and prepayments or repayments of such Term Loans under such Term Loan Facility occurring on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Rate</w:t>
      </w:r>
      <w:r>
        <w:rPr>
          <w:rFonts w:ascii="Times New Roman;Times;Serif" w:hAnsi="Times New Roman;Times;Serif"/>
          <w:b w:val="false"/>
          <w:i w:val="false"/>
          <w:caps w:val="false"/>
          <w:smallCaps w:val="false"/>
          <w:sz w:val="20"/>
        </w:rPr>
        <w:t>” means, for any day, (a) with respect to any amount denominated in Dollars, the greater of (i) the Federal Funds Rate and (ii) an overnight rate reasonably determined by the Administrative Agent or the Issuing Lenders, as the case may be, in accordance with banking industry rules on interbank compensation, and (b) with respect to any amount denominated in an Agreed Foreign Currency, an overnight rate reasonably determined by the Administrative Agent or the Issuing Lenders, as the case may be, in accordance with banking industry rules on interbank compensation.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set forth in Section 10.04(c).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set forth in Section 10.04(c)(i).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Member State</w:t>
      </w:r>
      <w:r>
        <w:rPr>
          <w:rFonts w:ascii="Times New Roman;Times;Serif" w:hAnsi="Times New Roman;Times;Serif"/>
          <w:b w:val="false"/>
          <w:i w:val="false"/>
          <w:caps w:val="false"/>
          <w:smallCaps w:val="false"/>
          <w:sz w:val="20"/>
        </w:rPr>
        <w:t>” means any member state of the European Community that adopts or has adopted the euro as its lawful currency in accordance with the legislation of the European Union relating to the European Monetary Union.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Percentage</w:t>
      </w:r>
      <w:r>
        <w:rPr>
          <w:rFonts w:ascii="Times New Roman;Times;Serif" w:hAnsi="Times New Roman;Times;Serif"/>
          <w:b w:val="false"/>
          <w:i w:val="false"/>
          <w:caps w:val="false"/>
          <w:smallCaps w:val="false"/>
          <w:sz w:val="20"/>
        </w:rPr>
        <w:t>” has the meaning set forth in Section 2.11(a).</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Section 4002 of ERISA and any successor entity performing similar functions.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the acquisition by the Borrower or any Restricted Subsidiary of any Person or of any division or line of business of any Person (whether a Person, or division or line of business, an “</w:t>
      </w:r>
      <w:r>
        <w:rPr>
          <w:rFonts w:ascii="Times New Roman;Times;Serif" w:hAnsi="Times New Roman;Times;Serif"/>
          <w:b w:val="false"/>
          <w:i w:val="false"/>
          <w:caps w:val="false"/>
          <w:smallCaps w:val="false"/>
          <w:sz w:val="20"/>
          <w:u w:val="single"/>
        </w:rPr>
        <w:t>Eligible Business</w:t>
      </w:r>
      <w:r>
        <w:rPr>
          <w:rFonts w:ascii="Times New Roman;Times;Serif" w:hAnsi="Times New Roman;Times;Serif"/>
          <w:b w:val="false"/>
          <w:i w:val="false"/>
          <w:caps w:val="false"/>
          <w:smallCaps w:val="false"/>
          <w:sz w:val="20"/>
        </w:rPr>
        <w:t>”), either by merger, consolidation, purchase of stock, or purchase of all or a substantial part of the assets of such Eligible Business (any such type of transaction is referred to in this Agreement as an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and the principal agreement relating thereto, whether a stock purchase agreement, an asset purchase agreement, a merger agreement or otherwise, is referred to in this Agreement as the “</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with respect to acquisitions of Foreign Subsidiaries (other than any Foreign Subsidiary organized under the laws of a country that is a member of the OECD (i) that Guarantees the Obligations in a manner reasonably satisfactory to the Administrative Agent and (ii) in respect of which at least 66% of the Capital Stock of such Foreign Subsidiary is pledged as Collateral) and/or assets located outside of the United States of America or Subsidiaries which do not become Subsidiary Guarantors, the aggregate consideration paid in connection therewith shall not exceed $250,000,000 in any fiscal year, (b) in the case of any acquisition by any of the Borrower’s wholly-owned Restricted Subsidiaries, such Restricted Subsidiary remains a wholly-owned Restricted Subsidiary of the Borrower, (c) the Borrower or such Restricted Subsidiary, as applicable, shall have complied with all of the requirements of Section 6.11 with respect thereto, (d) after giving effect to such acquisition on a pro forma basis, the Borrower shall be in compliance, on a pro forma basis, with Section 7.11 as of the end of the most recent fiscal quarter for which financial statements have been delivered, (e) no Default shall have occurred and be continuing immediately before and after giving effect to such Permitted Acquisition or result from the consummation thereof and (f) each of the following conditions shall have been satisfied (and the Borrower shall have delivered to the Administrative Agent a certificate to the effect that the conditions under paragraph (a) to (e) above and this paragraph (f) have been satisfied):</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such transaction shall not be a “hostile” acquisition or other “hostile” transaction (i.e., such transaction shall not be opposed by the board of directors (or similar governing body) of the Eligible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the event the Borrower or such Restricted Subsidiary, as applicable, proposes to initiate such transaction as hostile transaction with the intent to subsequently obtain the approval of the board of directors of the Eligible Business, the Borrower or such Restricted Subsidiary, as applicable, may notify the Administrative Agent and each Lender in writing in advance of the initiation of such proposed transaction together with any information concerning such transaction as the Administrative Agent or any Lender may request, and (ii) the Administrative Agent and each Lender shall have approved such transaction in writing prior to the initiation of such transaction, with the approval of each Lender not to be unreasonably withheld, the Borrower or the Restricted Subsidiary, as applicable, may proceed with such transaction as long as the transaction ultimately is approved by the board of directors (or similar governing body) of the Eligible Business (and a majority of which were members of such board of directors (or similar governing body) at the time such transaction was initiated) and is otherwise in accordance with the terms of this Agreement; and</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acquisition (1) if such acquisition is a stock acquisition, shall be of greater than 50% of the issued and outstanding Capital Stock of such Eligible Business, whether by purchase or as a result of merger or consolidation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or such Restricted Subsidiary, as applicable, shall be the surviving corporation in any such merger or consolidation), and in any event shall consist of shares of Capital Stock with sufficient voting rights which entitles the Borrower or such Restricted Subsidiary, as applicable, to elect a majority of the directors of such Eligible Business and to control the outcome of any shareholder votes with respect to the shareholders of such Eligible Business and (2) if such acquisition is an asset acquisition, shall be of all or a substantial part of an Eligible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three years from the date of acquisition thereof;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commercial paper maturing within 270 days from the date of acquisition thereof and having, at such date of acquisition, the highest credit rating obtainable from Standard &amp; Poor’s Ratings Services or from Moody’s Investors Services, Inc.;</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money market funds that (i) comply with the criteria set forth in SEC Rule 2a-7 under the Investment Company Act of 1940, (ii) are rated AAA by S&amp;P and Aaa by Moody’s and (iii) have portfolio assets of at least $5,000,000,000; and</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 to $100,000,000 in other investments by the Borrower in connection with its cash management activities pursuant to an investment policy approved by (i) a Financial Officer of the Borrower or (ii) the Board of Directors of the Borrower (or committee thereof), if required by the constitutive documents of the Borrower (it being understood that the investment shall be with a Managed Account). For purposes of this definition, the term “</w:t>
      </w:r>
      <w:r>
        <w:rPr>
          <w:rFonts w:ascii="Times New Roman;Times;Serif" w:hAnsi="Times New Roman;Times;Serif"/>
          <w:b w:val="false"/>
          <w:i w:val="false"/>
          <w:caps w:val="false"/>
          <w:smallCaps w:val="false"/>
          <w:sz w:val="20"/>
          <w:u w:val="single"/>
        </w:rPr>
        <w:t>Managed Account</w:t>
      </w:r>
      <w:r>
        <w:rPr>
          <w:rFonts w:ascii="Times New Roman;Times;Serif" w:hAnsi="Times New Roman;Times;Serif"/>
          <w:b w:val="false"/>
          <w:i w:val="false"/>
          <w:caps w:val="false"/>
          <w:smallCaps w:val="false"/>
          <w:sz w:val="20"/>
        </w:rPr>
        <w:t>” means an investment account that is owned by an investor and managed by a professional money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imposed by law for taxes, assessments and governmental charges or claims that are not yet due or are being contested in compliance with Section 6.04;</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landlords’, carriers’, warehousemen’s, mechanics’, materialmen’s, repairmen’s and other like Liens imposed by law (other than any such obligation imposed pursuant to Section 430(k) of the Code or 303(k) of ERISA), arising in the ordinary course of business and securing obligations that are not overdue by more than 30 days or are being contested in compliance with Section 6.04;</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deposits and statutory trusts made in the ordinary course of business in compliance with workers’ compensation, unemployment insurance and other social security laws or regulations;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deposits and other Liens to secure industrial revenue bonds, the performance of bids, trade contracts (other than for borrowed money), government contracts, leases, statutory obligations, surety and appeal bonds, performance bonds and other obligations of a like nature, in each case, in the ordinary course of business;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judgment liens in respect of judgments that do not constitute an Event of Default under paragraph (k) of Article VIII;</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easements, restrictions (including zoning restrictions), rights-of-way, licenses, covenants and similar encumbrances on real property imposed by law or arising in the ordinary course of business that do not secure any monetary obligations and do not materially detract from the value of the affected property or interfere with the ordinary conduct of business of the Group Members, taken as a whole;</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interest or title of a lessor under any lease entered into by the Borrower or any Restricted Subsidiary in the ordinary course of its business and covering only the assets so leased, and any financing statement filed in connection with any such lease;</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receipt of progress payments and advances from customers in the ordinary course of business to the extent the same creates a Lien by operation of law on the related inventory and proceeds thereof;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held by third parties on consigned goods incurred in the ordinary course of business;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bankers’ liens and rights to setoff with respect to deposit accounts and Liens encumbering margin deposits or brokerage accounts, in each case, incurred in the ordinary course of business;</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insurance policies and the proceeds thereof securing the financing of the insurance premiums with the providers of such insurance or their Affiliates in respect thereof;</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 and</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on any assets that are the subject of an agreement for a disposition thereof expressly permitted under Section 7.04 that arise due to the existence of such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Subordinated Debt</w:t>
      </w:r>
      <w:r>
        <w:rPr>
          <w:rFonts w:ascii="Times New Roman;Times;Serif" w:hAnsi="Times New Roman;Times;Serif"/>
          <w:b w:val="false"/>
          <w:i w:val="false"/>
          <w:caps w:val="false"/>
          <w:smallCaps w:val="false"/>
          <w:sz w:val="20"/>
        </w:rPr>
        <w:t xml:space="preserve">” means unsecured Indebtedness of the Borrower for borrowed money which (a) matures no earlier than, and does not require any scheduled principal payments prior to, the date which is six months after the Final Commitment Termination Date, (b) is not subject to any mandatory prepayment, redemption, repurchase, sinking fund or other similar obligation prior to the date which is six months after the Final Commitment Termination Date, in each case that could require any payment on account of principal in respect thereof prior to the date which is six months after the Final Commitment Termination Date, (c) is not guaranteed by any Group Member which is not a Subsidiary Guarantor, (d) is subordinated to the Obligations on terms and conditions reasonably satisfactory to the Administrative Agent, (e) has terms and conditions (other than interest rate, redemption premiums and subordination terms), taken as a whole, that are not materially less favorable or more restrictive to the Borrower than the terms and conditions customary at the time for high-yield subordinated debt securities issued in a public offering (except to the extent otherwise approved by the Administrative Agent) and (f) has terms and conditions (other than interest rate, redemption premiums and subordination terms), taken as a whole, that are not materially less favorable or more restrictive to the Borrower than the terms and conditions contained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and immediately after giving effect to such transaction, no Default shall have occurred and be continuing.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as defined in Section 3(2) of ERISA (other than a Multiemployer Plan), subject to the provisions of Title IV of ERISA or Section 412 of the Code or Section 302 of ERISA, and in respect of which any Group Member or any ERISA Affiliate is (or, if such plan were terminated, would under Section 4069 of ERISA be deemed to be) an “employer” as defined in Section 3(5) of ERISA.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set forth in Section 6.01.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Financial Center</w:t>
      </w:r>
      <w:r>
        <w:rPr>
          <w:rFonts w:ascii="Times New Roman;Times;Serif" w:hAnsi="Times New Roman;Times;Serif"/>
          <w:b w:val="false"/>
          <w:i w:val="false"/>
          <w:caps w:val="false"/>
          <w:smallCaps w:val="false"/>
          <w:sz w:val="20"/>
        </w:rPr>
        <w:t>” means, in the case of any Currency, the principal financial center where such Currency is cleared and settled, as determined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Transaction</w:t>
      </w:r>
      <w:r>
        <w:rPr>
          <w:rFonts w:ascii="Times New Roman;Times;Serif" w:hAnsi="Times New Roman;Times;Serif"/>
          <w:b w:val="false"/>
          <w:i w:val="false"/>
          <w:caps w:val="false"/>
          <w:smallCaps w:val="false"/>
          <w:sz w:val="20"/>
        </w:rPr>
        <w:t>” has the meaning assigned to such term in Section 406 of ERISA and Section 4975(c)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Loans</w:t>
      </w:r>
      <w:r>
        <w:rPr>
          <w:rFonts w:ascii="Times New Roman;Times;Serif" w:hAnsi="Times New Roman;Times;Serif"/>
          <w:b w:val="false"/>
          <w:i w:val="false"/>
          <w:caps w:val="false"/>
          <w:smallCaps w:val="false"/>
          <w:sz w:val="20"/>
        </w:rPr>
        <w:t>” has the meaning set forth in Section 2.11(a).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Dates</w:t>
      </w:r>
      <w:r>
        <w:rPr>
          <w:rFonts w:ascii="Times New Roman;Times;Serif" w:hAnsi="Times New Roman;Times;Serif"/>
          <w:b w:val="false"/>
          <w:i w:val="false"/>
          <w:caps w:val="false"/>
          <w:smallCaps w:val="false"/>
          <w:sz w:val="20"/>
        </w:rPr>
        <w:t>” means the last Business Day of September, December, March and June in each year, the first of which shall be the first such day after the date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Range</w:t>
      </w:r>
      <w:r>
        <w:rPr>
          <w:rFonts w:ascii="Times New Roman;Times;Serif" w:hAnsi="Times New Roman;Times;Serif"/>
          <w:b w:val="false"/>
          <w:i w:val="false"/>
          <w:caps w:val="false"/>
          <w:smallCaps w:val="false"/>
          <w:sz w:val="20"/>
        </w:rPr>
        <w:t>” has the meaning set forth in Section 2.11(a).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set forth in Section 10.04.</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S-X</w:t>
      </w:r>
      <w:r>
        <w:rPr>
          <w:rFonts w:ascii="Times New Roman;Times;Serif" w:hAnsi="Times New Roman;Times;Serif"/>
          <w:b w:val="false"/>
          <w:i w:val="false"/>
          <w:caps w:val="false"/>
          <w:smallCaps w:val="false"/>
          <w:sz w:val="20"/>
        </w:rPr>
        <w:t>” means Regulation S-X of the General Rules and Regulations promulgated by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means the obligation of the Borrower to reimburse the Issuing Lenders pursuant to Section 2.04(f) for amounts drawn under Letters of Credit.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and advisors of such Person and of such Person’s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means, with respect to any Borrowing denominated in (a) Dollars, SOFR, (b) English Pounds Sterling, SONIA and (c) euro, EURIBOR,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Replaced Facility</w:t>
      </w:r>
      <w:r>
        <w:rPr>
          <w:rFonts w:ascii="Times New Roman;Times;Serif" w:hAnsi="Times New Roman;Times;Serif"/>
          <w:b w:val="false"/>
          <w:i w:val="false"/>
          <w:caps w:val="false"/>
          <w:smallCaps w:val="false"/>
          <w:sz w:val="20"/>
        </w:rPr>
        <w:t>” has the meaning set forth in Section 10.02.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Facility</w:t>
      </w:r>
      <w:r>
        <w:rPr>
          <w:rFonts w:ascii="Times New Roman;Times;Serif" w:hAnsi="Times New Roman;Times;Serif"/>
          <w:b w:val="false"/>
          <w:i w:val="false"/>
          <w:caps w:val="false"/>
          <w:smallCaps w:val="false"/>
          <w:sz w:val="20"/>
        </w:rPr>
        <w:t>” has the meaning set forth in Section 10.02.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“reportable event,” as defined in Section 4043(c) of ERISA or the regulations issued thereunder with respect to a Plan (other than a Plan maintained by an ERISA Affiliate that is considered an ERISA Affiliate only pursuant to subsection (m) or (o) of Section 414 of the Code), other than those events as to which the 30-day notice period referred to in Section 4043(c) of ERISA has been waived.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chief executive officer, president, vice-president, chief financial officer, treasurer, assistant treasurer, secretary or controller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Class Lenders</w:t>
      </w:r>
      <w:r>
        <w:rPr>
          <w:rFonts w:ascii="Times New Roman;Times;Serif" w:hAnsi="Times New Roman;Times;Serif"/>
          <w:b w:val="false"/>
          <w:i w:val="false"/>
          <w:caps w:val="false"/>
          <w:smallCaps w:val="false"/>
          <w:sz w:val="20"/>
        </w:rPr>
        <w:t>” means, at any time with respect to any Class of Loans or Commitments, Lenders having Total Credit Exposures with respect to such Class representing more than 50% of the Total Credit Exposures of all Lenders of such Class. The Total Credit Exposure of any Defaulting Lender with respect to such Class shall be disregarded in determining Required Class Lenders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Lenders having Total Credit Exposures representing more than 50% of the Total Credit Exposures of all Lenders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Financial Covenant Lenders</w:t>
      </w:r>
      <w:r>
        <w:rPr>
          <w:rFonts w:ascii="Times New Roman;Times;Serif" w:hAnsi="Times New Roman;Times;Serif"/>
          <w:b w:val="false"/>
          <w:i w:val="false"/>
          <w:caps w:val="false"/>
          <w:smallCaps w:val="false"/>
          <w:sz w:val="20"/>
        </w:rPr>
        <w:t>” means, at any time, Lenders having Total Credit Exposures under the Financial Covenant Facilities representing more than 50% of all the Total Credit Exposures under the Financial Covenant Facilities. The Total Credit Exposure of any Defaulting Lender which is a Lender under any Financial Covenant Facility shall be disregarded in determining Required Financial Covenant Lenders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Revolving Lenders</w:t>
      </w:r>
      <w:r>
        <w:rPr>
          <w:rFonts w:ascii="Times New Roman;Times;Serif" w:hAnsi="Times New Roman;Times;Serif"/>
          <w:b w:val="false"/>
          <w:i w:val="false"/>
          <w:caps w:val="false"/>
          <w:smallCaps w:val="false"/>
          <w:sz w:val="20"/>
        </w:rPr>
        <w:t>” means, at any time, Revolving Lenders having Revolving Credit Exposures and Available Revolving Commitments representing more than 50% of the sum of the Aggregate Revolving Credit Exposures and the Aggregate Available Revolving Commitments of all Revolving Lenders at such time. The Revolving Credit Exposure and Available Revolving Commitments of any Defaulting Lender shall be disregarded in determining Required Revolving Lenders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Term Loan Lenders</w:t>
      </w:r>
      <w:r>
        <w:rPr>
          <w:rFonts w:ascii="Times New Roman;Times;Serif" w:hAnsi="Times New Roman;Times;Serif"/>
          <w:b w:val="false"/>
          <w:i w:val="false"/>
          <w:caps w:val="false"/>
          <w:smallCaps w:val="false"/>
          <w:sz w:val="20"/>
        </w:rPr>
        <w:t>” means, with respect to any Term Loan Facility, at any time, Term Lenders having Term Loans under such Term Loan Facility representing more than 50% of the aggregate unused Term Commitment and aggregate Outstanding Amount of Term Loans of all Term Lenders under such Term Loan Facility at such time. The Term Commitment and the Outstanding Amount of Term Loans of any Defaulting Lender shall be disregarded in determining Required Term Loan Lenders at any time.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as to any Person, the Certificate of Incorporation and By-Laws or other organizational or governing documents of such Person, and any law (including Environmental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(x) any dividend or other distribution (whether in cash, securities or other property) with respect to any shares of any class of Capital Stock of any Group Member, (y) any payment (whether in cash, securities or other property), including any sinking fund or similar deposit, on account of the purchase, redemption, retirement, acquisition, cancellation or termination of any such shares of Capital Stock of any Group Member or any option, warrant or other right to acquire any such shares of Capital Stock of any Group Member or (z) any principal payment on, or redemption, repurchase, defeasance, acquisition or retirement for value, or irrevocable notice of redemption with respect thereto, in each case, prior to any scheduled repayment, sinking fund payment or maturity, of any Subordinated Indebtedness (other than (1) Indebtedness permitted under Sections 7.01(a)(vi) and (b)(iv), (2) the purchase, repurchase or other acquisition of Subordinated Indebtedness purchased in anticipation of satisfying a sinking fund obligation, principal installment or final maturity, in each case due within one year of the date of purchase, repurchase or acquisition or (3) the giving of an irrevocable notice of redemption with respect to the transactions described in Section 7.07(h)).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xml:space="preserve">” means, at any time, any direct or indirect Subsidiary of the Borrower (including any Foreign Subsidiary) that is not then an Unrestricted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occurrence of an Unrestricted Subsidiary ceasing to be an Unrestricted Subsidiary, such Subsidiary shall be included in the definition of “Restricted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means Revolving Loans of the same Type and Agreed Currency, made, converted or continued on the same date and, in the case of Term SOFR Loans and Alternative Currency Term Rate Loans, as to which a single Interest Period is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means, with respect to each Revolving Lender at any time, the commitment of such Revolving Lender to make Revolving Loans and to participate in Letters of Credit, expressed as an amount representing the maximum aggregate amount of such Lender’s Revolving Credit Exposure hereunder, as such commitment may be (a) reduced or increased from time to time pursuant to Section 2.08 or Section 2.09 and (b) reduced or increased from time to time pursuant to assignments by or to such Lender pursuant to Section 10.04. The initial amount of each Revolving Lender’s Revolving Commitment is set forth on Schedule 1.01, or in the Assignment and Assumption pursuant to which such Revolving Lender shall have assumed its Revolving Commitment,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 Termination Date</w:t>
      </w:r>
      <w:r>
        <w:rPr>
          <w:rFonts w:ascii="Times New Roman;Times;Serif" w:hAnsi="Times New Roman;Times;Serif"/>
          <w:b w:val="false"/>
          <w:i w:val="false"/>
          <w:caps w:val="false"/>
          <w:smallCaps w:val="false"/>
          <w:sz w:val="20"/>
        </w:rPr>
        <w:t>” means August 18, 2031 (or if such date is not a Business Day, the immediately preceding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with respect to any Revolving Lender at any time, the sum of (a) the outstanding principal amount of Revolving Loans held by such Revolving Lender then outstanding and (b) such Revolving Lender’s LC Exposure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means, at any time, the aggregate amount of the Revolving Lenders’ Revolving Commitments and all Revolving Loans and Letters of Credit thereunder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the Persons listed on Schedule 1.01 holding a Revolving Commitment or Revolving Loans and any other Person that shall have become party hereto holding a Revolving Commitment or Revolving Loans pursuant to an Assignment and Assumption, other than any Person that ceases to be a party hereto holding a Revolving Commitment or Revolving Loans pursuant to an Assignment and Assumption.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means a Loan made by the Revolving Lenders to the Borrower pursuant to clause (b) of Section 2.01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(as of the Sixth Restatement Effective Date, Cuba, Iran, North Korea, the Crimea region of Ukraine, the so-called Donetsk People’s Republic, the so-called Luhansk People’s Republic and the Zaporizhzhia and Kherson regions of Ukraine).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European Union member state, (b) any Person operating, organized or resident in a Sanctioned Country or (c) any Person “owned” or “controlled” (in each case within the meaning of the applicable governmental Requirement of Law governing such Sanctions) by any such Person or Persons described in the foregoing clauses (a) or (b).</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Financial Services LLC, a subsidiary of S&amp;P Global Inc., and any successor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regulatory body that succeeds to the functions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Restated Credit Agreement</w:t>
      </w:r>
      <w:r>
        <w:rPr>
          <w:rFonts w:ascii="Times New Roman;Times;Serif" w:hAnsi="Times New Roman;Times;Serif"/>
          <w:b w:val="false"/>
          <w:i w:val="false"/>
          <w:caps w:val="false"/>
          <w:smallCaps w:val="false"/>
          <w:sz w:val="20"/>
        </w:rPr>
        <w:t>” has the meaning set forth in the recitals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Restatement Effective Date</w:t>
      </w:r>
      <w:r>
        <w:rPr>
          <w:rFonts w:ascii="Times New Roman;Times;Serif" w:hAnsi="Times New Roman;Times;Serif"/>
          <w:b w:val="false"/>
          <w:i w:val="false"/>
          <w:caps w:val="false"/>
          <w:smallCaps w:val="false"/>
          <w:sz w:val="20"/>
        </w:rPr>
        <w:t>” means March 13, 2015.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has the meaning assigned to such term in the Guarantee and Collateral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means, collectively, the Guarantee and Collateral Agreement, other security documents hereafter delivered to the Administrative Agent granting a Lien on any property of any Person to secure the obligations and liabilities of any Loan Party under any Loan Document and all Uniform Commercial Code financing statements required by the terms of any such agreement to be filed with respect to the security interests created pursuant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means the 6.250% Senior Notes due 2034 of the Borrower issued pursuant to the Senior Notes Indenture (as the same may be refinanced, renewed or replaced from time to time pursuant to the Senior Notes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 Indenture</w:t>
      </w:r>
      <w:r>
        <w:rPr>
          <w:rFonts w:ascii="Times New Roman;Times;Serif" w:hAnsi="Times New Roman;Times;Serif"/>
          <w:b w:val="false"/>
          <w:i w:val="false"/>
          <w:caps w:val="false"/>
          <w:smallCaps w:val="false"/>
          <w:sz w:val="20"/>
        </w:rPr>
        <w:t>” means the Indenture, dated as of August 18, 2026, entered into by the Borrower in connection with the issuance of the Senior Notes, together with all instruments and other agreements entered into by the Borrower in connection therewith.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Sixth Restatement Effective Date</w:t>
      </w:r>
      <w:r>
        <w:rPr>
          <w:rFonts w:ascii="Times New Roman;Times;Serif" w:hAnsi="Times New Roman;Times;Serif"/>
          <w:b w:val="false"/>
          <w:i w:val="false"/>
          <w:caps w:val="false"/>
          <w:smallCaps w:val="false"/>
          <w:sz w:val="20"/>
        </w:rPr>
        <w:t>” means August 18,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the Secured Overnight Financing Rate as administered by the Federal Reserve Bank of New York (or a successor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determination date is not a Business Day, SONIA means such rate that applied on the first Business Day immediately prior thereto.</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Adjustment</w:t>
      </w:r>
      <w:r>
        <w:rPr>
          <w:rFonts w:ascii="Times New Roman;Times;Serif" w:hAnsi="Times New Roman;Times;Serif"/>
          <w:b w:val="false"/>
          <w:i w:val="false"/>
          <w:caps w:val="false"/>
          <w:smallCaps w:val="false"/>
          <w:sz w:val="20"/>
        </w:rPr>
        <w:t>” means,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with respect to SONIA, 0.0326% per annum.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that as of the date of determination, (a) the sum of such Person’s debt and other liabilities (including contingent liabilities) does not exceed the present fair saleable value of such Person’s present assets, (b) such Person’s capital is not unreasonably small in relation to its business as contemplated on the Sixth Restatement Effective Date or with respect to any transaction contemplated to be undertaken after the Sixth Restatement Effective Date, (c) such Person has not incurred and does not intend to incur, or believe (nor should it reasonably believe) that it will incur, debts and liabilities (including contingent liabilities) beyond its ability to pay such debts and liabilities as they become due (whether at maturity or otherwise), and (d) such Person is “solvent” within the meaning given that term and similar terms under the Bankruptcy Code and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Cash Management Agreement</w:t>
      </w:r>
      <w:r>
        <w:rPr>
          <w:rFonts w:ascii="Times New Roman;Times;Serif" w:hAnsi="Times New Roman;Times;Serif"/>
          <w:b w:val="false"/>
          <w:i w:val="false"/>
          <w:caps w:val="false"/>
          <w:smallCaps w:val="false"/>
          <w:sz w:val="20"/>
        </w:rPr>
        <w:t>” has the meaning assigned to such term in the Guarantee and Collateral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Swap Agreement</w:t>
      </w:r>
      <w:r>
        <w:rPr>
          <w:rFonts w:ascii="Times New Roman;Times;Serif" w:hAnsi="Times New Roman;Times;Serif"/>
          <w:b w:val="false"/>
          <w:i w:val="false"/>
          <w:caps w:val="false"/>
          <w:smallCaps w:val="false"/>
          <w:sz w:val="20"/>
        </w:rPr>
        <w:t>” has the meaning assigned to such term in the Guarantee and Collateral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Time</w:t>
      </w:r>
      <w:r>
        <w:rPr>
          <w:rFonts w:ascii="Times New Roman;Times;Serif" w:hAnsi="Times New Roman;Times;Serif"/>
          <w:b w:val="false"/>
          <w:i w:val="false"/>
          <w:caps w:val="false"/>
          <w:smallCaps w:val="false"/>
          <w:sz w:val="20"/>
        </w:rPr>
        <w:t>” means 11:00 a.m., London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xml:space="preserve">” means (i) any incurrence or repayment, repurchase, redemption, satisfaction and discharge, defeasance or other acquisition, retirement or discharge of Indebtedness, (ii) any Investment that results in a Person becoming a Subsidiary, (iii) any designation of a Subsidiary as a Restricted Subsidiary or an Unrestricted Subsidiary, (iv) any acquisition or any Disposition that results in a Restricted Subsidiary ceasing to be a Subsidiary of the Borrower, (v) any investment constituting an acquisition of assets constituting a business unit, line of business or division of another Person by the Borrower or a Restricted Subsidiary, (vi) any disposition of a business unit, line of business or division of the Borrower or a Restricted Subsidiary, (vii) the cessation of the operations of a business unit, line of business or division of the Borrower or a Restricted Subsidiary, in each case whether by merger, consolidation, amalgamation or otherwise or any material restructuring of the Borrower or other event that by the terms of this Agreement requires “pro forma </w:t>
      </w:r>
      <w:r>
        <w:rPr>
          <w:rFonts w:ascii="Times New Roman;Times;Serif" w:hAnsi="Times New Roman;Times;Serif"/>
          <w:b w:val="false"/>
          <w:i/>
          <w:caps w:val="false"/>
          <w:smallCaps w:val="false"/>
          <w:sz w:val="20"/>
        </w:rPr>
        <w:t>compliance</w:t>
      </w:r>
      <w:r>
        <w:rPr>
          <w:rFonts w:ascii="Times New Roman;Times;Serif" w:hAnsi="Times New Roman;Times;Serif"/>
          <w:b w:val="false"/>
          <w:i w:val="false"/>
          <w:caps w:val="false"/>
          <w:smallCaps w:val="false"/>
          <w:sz w:val="20"/>
        </w:rPr>
        <w:t xml:space="preserve">” with a test or covenant thereunder or requires or permits a test or covenant to be calculated on a “pro forma </w:t>
      </w:r>
      <w:r>
        <w:rPr>
          <w:rFonts w:ascii="Times New Roman;Times;Serif" w:hAnsi="Times New Roman;Times;Serif"/>
          <w:b w:val="false"/>
          <w:i/>
          <w:caps w:val="false"/>
          <w:smallCaps w:val="false"/>
          <w:sz w:val="20"/>
        </w:rPr>
        <w:t>basis</w:t>
      </w:r>
      <w:r>
        <w:rPr>
          <w:rFonts w:ascii="Times New Roman;Times;Serif" w:hAnsi="Times New Roman;Times;Serif"/>
          <w:b w:val="false"/>
          <w:i w:val="false"/>
          <w:caps w:val="false"/>
          <w:smallCaps w:val="false"/>
          <w:sz w:val="20"/>
        </w:rPr>
        <w:t xml:space="preserve">” or to be given “pro forma </w:t>
      </w:r>
      <w:r>
        <w:rPr>
          <w:rFonts w:ascii="Times New Roman;Times;Serif" w:hAnsi="Times New Roman;Times;Serif"/>
          <w:b w:val="false"/>
          <w:i/>
          <w:caps w:val="false"/>
          <w:smallCaps w:val="false"/>
          <w:sz w:val="20"/>
        </w:rPr>
        <w:t>effect</w:t>
      </w:r>
      <w:r>
        <w:rPr>
          <w:rFonts w:ascii="Times New Roman;Times;Serif" w:hAnsi="Times New Roman;Times;Serif"/>
          <w:b w:val="false"/>
          <w:i w:val="false"/>
          <w:caps w:val="false"/>
          <w:smallCaps w:val="false"/>
          <w:sz w:val="20"/>
        </w:rPr>
        <w:t>.” “Specified Transaction” shall also include any Permitted Acquisition, Investment or Disposition made by any Person that subsequently became a Restricted Subsidiary or was merged with or into the Borrower or any of its Restricted Subsidiaries since the beginning of any applicable Test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Spot Rate</w:t>
      </w:r>
      <w:r>
        <w:rPr>
          <w:rFonts w:ascii="Times New Roman;Times;Serif" w:hAnsi="Times New Roman;Times;Serif"/>
          <w:b w:val="false"/>
          <w:i w:val="false"/>
          <w:caps w:val="false"/>
          <w:smallCaps w:val="false"/>
          <w:sz w:val="20"/>
        </w:rPr>
        <w:t xml:space="preserve">” for a Currency means the rate reasonably determined by the Administrative Agent to be the rate quoted by the Person acting in such capacity as the spot rate for the purchase by such Person of such Currency with another Currency through its principal foreign exchange trading office at approximately the Specified Time on the date two Business Days prior to the date of such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any Indebtedness of the Borrower or any Guarantor which is by its terms subordinated in right of payment to the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securities or other ownership interests representing more than 50% of the equity or more than 50% of the ordinary voting power or, in the case of a partnership, more than 50% of the general partnership interests are, as of such date, owned, controlled or held. Unless otherwise specified, “Subsidiary” means a Subsidiary of the Borrower.</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Guarantor</w:t>
      </w:r>
      <w:r>
        <w:rPr>
          <w:rFonts w:ascii="Times New Roman;Times;Serif" w:hAnsi="Times New Roman;Times;Serif"/>
          <w:b w:val="false"/>
          <w:i w:val="false"/>
          <w:caps w:val="false"/>
          <w:smallCaps w:val="false"/>
          <w:sz w:val="20"/>
        </w:rPr>
        <w:t>” means each Subsidiary of the Borrower other than any Excluded Foreign Subsidiary, Immaterial Subsidiary or Unrestricted Subsidiary. For the avoidance of doubt, as of the Sixth Restatement Effective Date, the Subsidiary Guarantors shall be (a) Clopay Corporation, (b) Cornell Real Estate Holdings, LLC, (c) Clopay Ames Holding Corp., (d) CornellCookson, LLC, (e) Ames Hunter Holdings Corporation, (f) Hunter Fan Company and (g) Griffon AMES HoldCo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has the meaning set forth in Section 2.14(c).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its Subsidiaries shall be a Swap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T2</w:t>
      </w:r>
      <w:r>
        <w:rPr>
          <w:rFonts w:ascii="Times New Roman;Times;Serif" w:hAnsi="Times New Roman;Times;Serif"/>
          <w:b w:val="false"/>
          <w:i w:val="false"/>
          <w:caps w:val="false"/>
          <w:smallCaps w:val="false"/>
          <w:sz w:val="20"/>
        </w:rPr>
        <w:t>” means the real time gross settlement system operated by the Eurosystem, or any successor system.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Day</w:t>
      </w:r>
      <w:r>
        <w:rPr>
          <w:rFonts w:ascii="Times New Roman;Times;Serif" w:hAnsi="Times New Roman;Times;Serif"/>
          <w:b w:val="false"/>
          <w:i w:val="false"/>
          <w:caps w:val="false"/>
          <w:smallCaps w:val="false"/>
          <w:sz w:val="20"/>
        </w:rPr>
        <w:t>” means any day on which T2 is open for the settlement of payments in euro.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levies, imposts, duties, deductions, charges or withholdings imposed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Borrowing</w:t>
      </w:r>
      <w:r>
        <w:rPr>
          <w:rFonts w:ascii="Times New Roman;Times;Serif" w:hAnsi="Times New Roman;Times;Serif"/>
          <w:b w:val="false"/>
          <w:i w:val="false"/>
          <w:caps w:val="false"/>
          <w:smallCaps w:val="false"/>
          <w:sz w:val="20"/>
        </w:rPr>
        <w:t>” means Term Loans of the same Type, made, converted or continued on the same date and, in the case of Term SOFR Loans, as to which a single Interest Period is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Commitment</w:t>
      </w:r>
      <w:r>
        <w:rPr>
          <w:rFonts w:ascii="Times New Roman;Times;Serif" w:hAnsi="Times New Roman;Times;Serif"/>
          <w:b w:val="false"/>
          <w:i w:val="false"/>
          <w:caps w:val="false"/>
          <w:smallCaps w:val="false"/>
          <w:sz w:val="20"/>
        </w:rPr>
        <w:t>” means, with respect to each Term Lender, the aggregate of its Incremental Term Commitment.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means, at any time, any Lender that has a Term Commitment or a Term Loan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an Incremental Term Loan, a Refinancing Term Loan or an Extended Term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Facility</w:t>
      </w:r>
      <w:r>
        <w:rPr>
          <w:rFonts w:ascii="Times New Roman;Times;Serif" w:hAnsi="Times New Roman;Times;Serif"/>
          <w:b w:val="false"/>
          <w:i w:val="false"/>
          <w:caps w:val="false"/>
          <w:smallCaps w:val="false"/>
          <w:sz w:val="20"/>
        </w:rPr>
        <w:t>” means, (a) on or prior to the effective date of any Term Loan Facility, the aggregate amount of the applicable Term Commitments at such time and (b) thereafter, the aggregate principal amount of the applicable Term Loans of all applicable Term Lenders outstanding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t>for any interest calculation with respect to an ABR Loan on any date, the rate per annum equal to the Term SOFR Screen Rate with a term of one month commencing that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the Term SOFR determined in accordance with either of the foregoing provisions (a) or (b) of this definition would otherwise be less than 0.00%, the Term SOFR shall be deemed 0.00% for the purposes of this Agreement and the other Loan Documents.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means a Loan that bears interest at a rate based on clause (a) of the definition of Term SOFR.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in its reasonable discretion) and published on the applicable Reuters screen page (or such other commercially available source providing such quotations as may be designated by the Administrative Agent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Restated Credit Agreement</w:t>
      </w:r>
      <w:r>
        <w:rPr>
          <w:rFonts w:ascii="Times New Roman;Times;Serif" w:hAnsi="Times New Roman;Times;Serif"/>
          <w:b w:val="false"/>
          <w:i w:val="false"/>
          <w:caps w:val="false"/>
          <w:smallCaps w:val="false"/>
          <w:sz w:val="20"/>
        </w:rPr>
        <w:t>” has the meaning set forth in the recitals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Restatement Effective Date</w:t>
      </w:r>
      <w:r>
        <w:rPr>
          <w:rFonts w:ascii="Times New Roman;Times;Serif" w:hAnsi="Times New Roman;Times;Serif"/>
          <w:b w:val="false"/>
          <w:i w:val="false"/>
          <w:caps w:val="false"/>
          <w:smallCaps w:val="false"/>
          <w:sz w:val="20"/>
        </w:rPr>
        <w:t>” means March 22, 2016.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Assets</w:t>
      </w:r>
      <w:r>
        <w:rPr>
          <w:rFonts w:ascii="Times New Roman;Times;Serif" w:hAnsi="Times New Roman;Times;Serif"/>
          <w:b w:val="false"/>
          <w:i w:val="false"/>
          <w:caps w:val="false"/>
          <w:smallCaps w:val="false"/>
          <w:sz w:val="20"/>
        </w:rPr>
        <w:t>” means the total assets of the Borrower and its Restricted Subsidiaries on a consolidated basis, as shown on the most recent consolidated balance sheet of the Borrower and its Restricted Subsidiaries and computed in accordance with GAAP. Total Assets shall be calculated after giving effect to the transaction giving rise to the need to calculate Total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means, as to any Lender at any time, the Available Revolving Commitments, unused Term Commitments, Revolving Credit Exposure and Outstanding Amount of Term Loans of such Lender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execution, delivery and performance by each Loan Party of this Agreement and the other Loan Documents to which such Loan Party is intended to be a party and the borrowing of Loans and the issuance of Letters of Credit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Term SOFR, the Alternative Currency Daily Rate, the Alternative Currency Term Rate or the Alternate Base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Unaudited Financial Statements</w:t>
      </w:r>
      <w:r>
        <w:rPr>
          <w:rFonts w:ascii="Times New Roman;Times;Serif" w:hAnsi="Times New Roman;Times;Serif"/>
          <w:b w:val="false"/>
          <w:i w:val="false"/>
          <w:caps w:val="false"/>
          <w:smallCaps w:val="false"/>
          <w:sz w:val="20"/>
        </w:rPr>
        <w:t>” means the unaudited consolidated balance sheet and consolidated results of operations for the Borrower and its Subsidiaries as of and for the three-month period ended December 31, 2025, the three- and six-month periods ended March 31, 2026 and the three- and nine-month periods ended June 30,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xml:space="preserve">” means (1) any Subsidiary of the Borrower which at the time of determination is an Unrestricted Subsidiary (as designated by the Borrower pursuant to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(it being understood and agreed that, as of the Sixth Restatement Effective Date, New Ames Equity Sub, LLC and Griffon 2L Loan Holdco, LLC are Unrestricted Subsidiaries); and (2) any Subsidiary of an Unrestricted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Certificate</w:t>
      </w:r>
      <w:r>
        <w:rPr>
          <w:rFonts w:ascii="Times New Roman;Times;Serif" w:hAnsi="Times New Roman;Times;Serif"/>
          <w:b w:val="false"/>
          <w:i w:val="false"/>
          <w:caps w:val="false"/>
          <w:smallCaps w:val="false"/>
          <w:sz w:val="20"/>
        </w:rPr>
        <w:t>” has the meaning set forth in Section 2.17(f).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To enable the ready and consistent determination of compliance with the covenants set forth in Article VII, the Borrower will not change the last day of its fiscal year from September 30, or the last days of the first three fiscal quarters in each of its fiscal years from December 31, March 31 and June 30, respectively. Notwithstanding any other provision contained herein, all terms of an accounting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Indebtedness or other liabilities of the Borrower or any Restricted Subsidiary at “fair value,” as defined therein.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Third Restatement Effective Date that would require operating leases to be treated similarly to capital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val="false"/>
          <w:i w:val="false"/>
          <w:caps w:val="false"/>
          <w:smallCaps w:val="false"/>
          <w:sz w:val="20"/>
          <w:u w:val="single"/>
        </w:rPr>
        <w:t>Currencies; Currency Equivalents; Euro</w:t>
      </w:r>
      <w:r>
        <w:rPr>
          <w:rFonts w:ascii="Times New Roman;Times;Serif" w:hAnsi="Times New Roman;Times;Serif"/>
          <w:b w:val="false"/>
          <w:i w:val="false"/>
          <w:caps w:val="false"/>
          <w:smallCaps w:val="false"/>
          <w:sz w:val="20"/>
        </w:rPr>
        <w:t>. At any time, any reference in the definition of the term “</w:t>
      </w:r>
      <w:r>
        <w:rPr>
          <w:rFonts w:ascii="Times New Roman;Times;Serif" w:hAnsi="Times New Roman;Times;Serif"/>
          <w:b w:val="false"/>
          <w:i w:val="false"/>
          <w:caps w:val="false"/>
          <w:smallCaps w:val="false"/>
          <w:sz w:val="20"/>
          <w:u w:val="single"/>
        </w:rPr>
        <w:t>Agreed Foreign Currency</w:t>
      </w:r>
      <w:r>
        <w:rPr>
          <w:rFonts w:ascii="Times New Roman;Times;Serif" w:hAnsi="Times New Roman;Times;Serif"/>
          <w:b w:val="false"/>
          <w:i w:val="false"/>
          <w:caps w:val="false"/>
          <w:smallCaps w:val="false"/>
          <w:sz w:val="20"/>
        </w:rPr>
        <w:t>” or in any other provision of this Agreement to the Currency of any particular nation means the lawful currency of such nation at such time whether or not the name of such Currency is the same as it was on the Sixth Restatement Effective Date. Except as provided in Section 2.11(c) and the last sentence of Section 2.18(a), for purposes of determining (i) as of the date of the making of any Loan or the issuance, amendment, renewal or extension of any Letter of Credit, (x) whether the amount of any Borrowing, together with all other Borrowings then outstanding or to be borrowed at the same time as such Borrowing would exceed the Aggregate Revolving Commitment, (y) whether the Aggregate LC Exposure in respect of any Letter of Credit to be issued, amended, renewed or extended, together with the Aggregate LC Exposure of all other Letters of Credit then outstanding would exceed the Aggregate Letter of Credit Sublimit Amount or (z) whether, after giving effect to the making of such Loan or the issuance, amendment, renewal or extension of such Letter of Credit, as applicable, the Aggregate Revolving Credit Exposure would exceed the Aggregate Revolving Commitment, (ii) the Aggregate Available Revolving Commitments, (iii) the outstanding aggregate principal amount of Borrowings, (iv) the Aggregate LC Exposure, (v) the Aggregate Revolving Credit Exposure and (vi) any other amount requiring conversion of an amount denominated in a Foreign Currency into an amount denominated in Dollars, (x) the outstanding principal amount of any Borrowing that is denominated in any Foreign Currency shall be deemed to be the Dollar Equivalent of the amount of the Foreign Currency of such Borrowing determined as of the date of such Borrowing (determined in accordance with the last sentence of the definition of the term “Interest Period”) and (y) the Aggregate LC Exposure with respect to any Letter of Credit denominated in any Foreign Currency shall be deemed to be the Dollar Equivalent of the amount of such Foreign Currency of the Aggregate LC Exposure with respect to such Letter of Credit determined initially as of the date of issuance thereof, and thereafter on each Quarterly Date.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obligation hereunder of any party hereto that is denominated in a Currency of a country that is not a Participating Member State on the Sixth Restatement Effective Date shall, effective from the date on which such country becomes a Participating Member State, be redenominated in euro in accordance with the legislation of the European Union applicable to the European Monetary Union;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and to the extent that any such legislation provides that any such obligation of any such party payable within such Participating Member State by crediting an account of the creditor can be paid by the debtor either in euro or such Currency, such party shall be entitled to pay or repay such amount either in euro or in such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country becomes a Participating Member State;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Borrowing denominated in such currency that is outstanding immediately prior to such date, such replacement shall take effect at the end of the Interest Period therefor. Without prejudice to the respective liabilities of the Borrower to the Lenders and of the Lenders to the Borrower under or pursuant to this Agreement, each provision of this Agreement shall be subject to such reasonable changes of construction as the Administrative Agent may from time to time reasonably specify to be necessary or appropriate to reflect the introduction or changeover to the euro in any country that becomes a Participating Member State after the Sixth Restatement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val="false"/>
          <w:i w:val="false"/>
          <w:caps w:val="false"/>
          <w:smallCaps w:val="false"/>
          <w:sz w:val="20"/>
          <w:u w:val="single"/>
        </w:rPr>
        <w:t>Additional Agreed Foreign Currencies</w:t>
      </w:r>
      <w:r>
        <w:rPr>
          <w:rFonts w:ascii="Times New Roman;Times;Serif" w:hAnsi="Times New Roman;Times;Serif"/>
          <w:b w:val="false"/>
          <w:i w:val="false"/>
          <w:caps w:val="false"/>
          <w:smallCaps w:val="false"/>
          <w:sz w:val="20"/>
        </w:rPr>
        <w: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 xml:space="preserve">The Borrower may from time to time request that Revolving Loans be made and/or Letters of Credit be issued in a Currency other than those specifically listed in the definition of “Agreed Foreign Currency;” </w:t>
            </w:r>
            <w:r>
              <w:rPr>
                <w:u w:val="single"/>
              </w:rPr>
              <w:t>provided</w:t>
            </w:r>
            <w:r>
              <w:rPr/>
              <w:t xml:space="preserve"> that such requested Currency is a lawful Currency (other than Dollars) that is readily available and freely transferable and convertible into Dollars. In the case of any such request with respect to the making of Term SOFR Loans, Alternative Currency Daily Rate Loans or Alternative Currency Term Rate Loans, such request shall be subject to the approval of the Administrative Agent and the Revolving Lenders; and in the case of any such request with respect to the issuance of Letters of Credit, such request shall be subject to the approval of the Administrative Agent and the Issuing Lenders.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Any such request shall be made to the Administrative Agent not later than 11:00 a.m., New York City time, 10 Business Days prior to the date of the desired Revolving Borrowing or Letter of Credit issuances (or such other time or date as may be agreed by the Administrative Agent and, in the case of any such request pertaining to Letters of Credit, the Issuing Lenders, in its or their sole discretion). In the case of any such request pertaining to Revolving Loans, the Administrative Agent shall promptly notify each Revolving Lender thereof; and in the case of any such request pertaining to Letters of Credit, the Administrative Agent shall promptly notify the Issuing Lenders thereof. Each Revolving Lender (in the case of any such request pertaining to Revolving Loans) or each Issuing Lender (in the case of a request pertaining to Letters of Credit) shall notify the Administrative Agent, not later than 11:00 a.m., New York City time, 5 Business Days after receipt of such request whether it consents, in its sole discretion, to the making of Revolving Loans or the issuance of Letters of Credit, as the case may be, in such requested Currency.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both"/>
              <w:rPr/>
            </w:pPr>
            <w:r>
              <w:rPr/>
              <w:t xml:space="preserve">Any failure by a Revolving Lender or an Issuing Lender, as the case may be, to respond to such request within the time period specified in the preceding sentence shall be deemed to be a refusal by such Revolving Lender or such Issuing Lender, as the case may be, to permit Revolving Loans to be made or Letters of Credit to be issued in such requested currency. If the Administrative Agent and all the Revolving Lenders consent to making Revolving Loans in such requested currency, the Administrative Agent shall so notify the Borrower and (i) the Administrative Agent and such Revolving Lenders may amend the definition of Alternative Currency Daily Rate or Alternative Currency Term Rate to the extent necessary to add the applicable rate for such Currency and any applicable adjustment for such rate which is agreed by the Borrower and (ii) to the extent the definition of Alternative Currency Daily Rate or Alternative Currency Term Rate, as applicable, has been amended to reflect the appropriate rate for such Currency, such Currency shall thereupon be deemed for all purposes to be an Agreed Foreign Currency hereunder for purposes of any Borrowings of Revolving Loan; and if the Administrative Agent and the Issuing Lenders consent to the issuance of Letters of Credit in such requested Currency, the Administrative Agent shall so notify the Borrower and (i) the Administrative Agent and the Issuing Lenders may amend the definition of Alternative Currency Daily Rate or Alternative Currency Term Rate, as applicable, to the extent necessary to add the applicable rate for such Currency and any applicable adjustment for such rate which is agreed by the Borrower and (ii) to the extent the definition of Alternative Currency Daily Rate or Alternative Currency Term Rate, as applicable, has been amended to reflect the appropriate rate for such Currency, such Currency shall thereupon be deemed for all purposes to be an Agreed Foreign Currency hereunder for purposes of any Letter of Credit issuances. If the Administrative Agent shall fail to obtain consent to any request for an additional Currency under this </w:t>
            </w:r>
            <w:r>
              <w:rPr>
                <w:u w:val="single"/>
              </w:rPr>
              <w:t>Section 1.06</w:t>
            </w:r>
            <w:r>
              <w:rPr/>
              <w:t>, the Administrative Agent shall promptly so notify the Borrower. For the avoidance of doubt, and notwithstanding anything else herein to the contrary, any amendment or other modification to the adjustment for SONIA from the percentage per annum set forth in the definition of “SONIA Adjustment” shall require the consent of the Borrower.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val="false"/>
          <w:i w:val="false"/>
          <w:caps w:val="false"/>
          <w:smallCaps w:val="false"/>
          <w:sz w:val="20"/>
          <w:u w:val="single"/>
        </w:rPr>
        <w:t>Interest Rates</w:t>
      </w:r>
      <w:r>
        <w:rPr>
          <w:rFonts w:ascii="Times New Roman;Times;Serif" w:hAnsi="Times New Roman;Times;Serif"/>
          <w:b w:val="false"/>
          <w:i w:val="false"/>
          <w:caps w:val="false"/>
          <w:smallCaps w:val="false"/>
          <w:sz w:val="20"/>
        </w:rPr>
        <w:t>. The Administrative Agent does not warrant, nor accept responsibility, nor shall the Administrative Agent have any liability with respect to the administration, submission or any other matter related to any reference rate referred to herein or with respect to any rate that is an alternative or replacement for or successor to any of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discretion to ascertain any reference rate referred to herein or any alternative, successor or replacement rate (including, without limitation, any Successor Rate)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val="false"/>
          <w:i w:val="false"/>
          <w:caps w:val="false"/>
          <w:smallCaps w:val="false"/>
          <w:sz w:val="20"/>
          <w:u w:val="single"/>
        </w:rPr>
        <w:t>Pro Forma Calculations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herein or in any other Loan Document, financial ratios and tests (including the Consolidated Interest Coverage Ratio, the Consolidated Senior Secured Leverage Ratio or the Consolidated Leverage Ratio), Consolidated EBITDA and Total Assets shall be calculated in the manner prescribed by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clauses (b) or (c) of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when calculating the Consolidated Leverage Ratio and the Consolidated Senior Secured Leverage Ratio for purposes of determining (i) the “Applicable Rate” or (ii) actual compliance (as opposed to compliance on a pro forma basis) with the maximum Consolidated Senior Secured Leverage Ratio and/or Consolidated Leverage Ratio permitted under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the events described in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that occurred subsequent to the end of the applicable Test Period shall not be given pro forma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calculating any financial ratio or test (including the Consolidated Interest Coverage Ratio, the Consolidated Senior Secured Leverage Ratio or the Consolidated Leverage Ratio), Consolidated EBITDA or Total Assets, Specified Transactions that have been consummated during the applicable Test Period or after the end of such Test Period and on or prior to or substantially concurrently with the event for which the calculation of such financial ratio or test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Total Assets, on the last day of the applicable Test Period). If since the beginning of any applicable Test Period any Person that subsequently became a Restricted Subsidiary or was merged, amalgamated or consolidated with or into the Borrower or any Restricted Subsidiary since the beginning of such Test Period and on or prior to the date of any calculation under this Agreement shall have consummated any Specified Transaction that would have required adjustment pursuant to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then such financial ratio or test shall be calculated to give pro forma effect thereto in accordance with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pro forma calculations to be made in connection with any acquisition or investment in respect of which financial statements for the relevant target are not available for the same Test Period for which financial statements of the Borrower and its Restricted Subsidiaries have been delivered pursuant to </w:t>
      </w:r>
      <w:r>
        <w:rPr>
          <w:rFonts w:ascii="Times New Roman;Times;Serif" w:hAnsi="Times New Roman;Times;Serif"/>
          <w:b w:val="false"/>
          <w:i w:val="false"/>
          <w:caps w:val="false"/>
          <w:smallCaps w:val="false"/>
          <w:sz w:val="20"/>
          <w:u w:val="single"/>
        </w:rPr>
        <w:t>Sections 6.01(a) and (b)</w:t>
      </w:r>
      <w:r>
        <w:rPr>
          <w:rFonts w:ascii="Times New Roman;Times;Serif" w:hAnsi="Times New Roman;Times;Serif"/>
          <w:b w:val="false"/>
          <w:i w:val="false"/>
          <w:caps w:val="false"/>
          <w:smallCaps w:val="false"/>
          <w:sz w:val="20"/>
        </w:rPr>
        <w:t>, as applicable, the Borrower shall determine such pro forma calculations on the basis of the available financial statements (even if for differing periods) or such other basis as determined on a commercially reasonable basis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pro forma effect is to be given to a Specified Transaction, the pro forma calculations shall be made in good faith by a responsible financial or accounting officer (or any employee under the supervision of a responsible financial or accounting officer) of the Borrower and in the case of any Material Acquisition or Material Disposition, shall give effect to the adjustments provided for in clause (m) of the definition of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Indebtedness bears a floating rate of interest and is being given pro forma effect, the interest on such Indebtedness shall be calculated as if the rate in effect on the date of the event for which the calculation of such financial ratio or test is made had been the applicable rate for the entire period (taking into account for such entire period, any Swap Agreement applicable to such Indebtedness with a remaining term of 12 months or longer, and in the case of any Swap Agreement applicable to such Indebtedness with a remaining term of less than 12 months, taking into account such Swap Agreement to the extent of its remaining term). Interest on a Capital Lease Obligation shall be deemed to accrue at an interest rate reasonably determined by a responsible financial or accounting officer of the Borrower to be the rate of interest implicit in such Capital Lease Obligation in accordance with GAAP. For purposes of making the computation referred to above, interest on any Indebtedness under a revolving credit facility computed on a pro forma basis shall be computed based upon the average daily balance of such Indebtedness during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an interbank offered rate, or other rate, shall be deemed to have been based upon the rate actually chosen, or, if none, then based upon such optional rate chosen as the Borrower may designate. For the avoidance of doubt, usage of all negative covenants baskets hereunder shall be calculated giving effect to and only to any usage thereof from and after the Sixth Restatement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in this Section 1.08 or in any classification under GAAP of any Person, business, assets or operations in respect of which a definitive agreement for the disposition thereof has been entered into, at the election of the Borrower, no pro forma effect shall be given to any discontinued operations (and the EBITDA attributable to any such Person, business, assets or operations shall not be excluded for any purposes hereunder) until such disposition shall have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determination of Total Assets shall be made by reference to the last day of the Test Period most recently ended on or prior to the relevant date of determination for which financial statements have been or were required to be delivered pursuant to Section 6.01. Notwithstanding anything to the contrary herein, to the extent compliance with a financial ratio or test is calculated prior to the date financial statements are first delivered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such calculation shall use the latest financial statements delivered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of the Second Amendment to Fourth Amended and Restated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otherwise specifically provided herein, all computations of Consolidated EBITDA, Total Assets, the Available Amount, the Consolidated Interest Coverage Ratio, the Consolidated Senior Secured Leverage Ratio, the Consolidated Leverage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be calculated, in each case, with respect to Borrower and its Restricted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1.09 </w:t>
      </w:r>
      <w:r>
        <w:rPr>
          <w:rFonts w:ascii="Times New Roman;Times;Serif" w:hAnsi="Times New Roman;Times;Serif"/>
          <w:b w:val="false"/>
          <w:i w:val="false"/>
          <w:caps w:val="false"/>
          <w:smallCaps w:val="false"/>
          <w:sz w:val="20"/>
          <w:u w:val="single"/>
        </w:rPr>
        <w:t>Limited Condition Transactions; Certain Calculations and Tests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in connection with any Limited Condition Transaction, for purposes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determining compliance with any provision of this Agreement which requires the calculation of any financial ratio or test, including the Consolidated Interest Coverage Ratio, the Consolidated Leverage Ratio or the Consolidated Senior Secured Leverage Ratio;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determining the accuracy of representations and warranties and/or whether a Default or Event of Default shall have occurred and be continuing;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testing availability or capacity under baskets set forth in this Agreement (including baskets measured as a percentage of Consolidated EBITDA or by reference to the Available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Borrower (the Borrower’s election to exercise such option in connection with any Limited Condition Transaction,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the date of determination of whether any such action is permitted hereunder, shall be deemed to be (A) the date on which the definitive agreement for such Limited Condition Transaction is entered into or (B) in the case of a redemption or repurchase of Indebtedness pursuant to an irrevocable notice, the date on which such irrevocable notice is delivered (the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and if, after giving pro forma effect to the Limited Condition Transaction and the other transactions to be entered into in connection therewith (including any incurrence of Indebtedness or Liens and the use of proceeds thereof) as if they had occurred at the beginning of the most recent Test Period ending prior to the LCT Test Date, the applicable ratio or basket, representations and warranties and requirements (including without limitation relating to the absence of Defaults or Events of Default) would have been satisfied on the relevant LCT Test Date, then each such ratio, basket, representation, warranty and requirement shall be deemed to have been satisfied, in each case without any requirement to retest the same at the time of consummation of the applicable Limited Condition Transaction.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if the Borrower has made an LCT Election, which LCT Election may be made at any time prior to, contemporaneously with, or at any time after, the applicable LCT Test Date, and any of the ratios, tests or baskets for which compliance was determined or tested as of the LCT Test Date are exceeded as a result of fluctuations in any such ratio, test or basket, including due to fluctuations in Consolidated EBITDA of the Borrower or the Person subject to such Limited Condition Transaction, at or prior to the consummation of the relevant transaction or action, such ratios, tests or baskets will not be deemed to have been exceeded as a result of such fluctuations; provided, however, if any ratios or tests improve or baskets increase as a result of such fluctuations, such improved ratios or tests or increased baskets may be utilized. If the Borrower has made an LCT Election for any Limited Condition Transaction, then in connection with any subsequent calculation of the ratios, tests or baskets subject to the LCT Election on or following the relevant LCT Test Date and prior to the earlier of (i) the date on which such Limited Condition Transaction is consummated or (ii) the date on which the definitive agreement for such Limited Condition Transaction is terminated or expires, the applicable irrevocable notice ceases to be effective or such Limited Condition Transaction is otherwise abandoned, in each case without consummation thereof, any such ratio, test or basket shall be calculated on a pro forma basis assuming such Limited Condition Transaction and other transactions in connection therewith (including any incurrence of Indebtedness or Liens and the use of proceeds thereof) have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with respect to any amounts incurred or transactions entered into (or consummated) in reliance on a provision of this Agreement that does not require compliance with a financial ratio or test (including pro forma compliance with any Consolidated Interest Coverage Ratio test, any Consolidated Leverage Ratio test and/or any Consolidated Senior Secured Leverage Ratio test) (any such amounts, including the Incremental Fixed Amount, the “</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substantially concurrently with any amounts incurred or transactions entered into (or consummated) in reliance on a provision of this Agreement that requires compliance with any such financial ratio or test (any such amounts, including the Incremental Ratio Amount, the “</w:t>
      </w:r>
      <w:r>
        <w:rPr>
          <w:rFonts w:ascii="Times New Roman;Times;Serif" w:hAnsi="Times New Roman;Times;Serif"/>
          <w:b w:val="false"/>
          <w:i w:val="false"/>
          <w:caps w:val="false"/>
          <w:smallCaps w:val="false"/>
          <w:sz w:val="20"/>
          <w:u w:val="single"/>
        </w:rPr>
        <w:t>Incurrence Based Amounts</w:t>
      </w:r>
      <w:r>
        <w:rPr>
          <w:rFonts w:ascii="Times New Roman;Times;Serif" w:hAnsi="Times New Roman;Times;Serif"/>
          <w:b w:val="false"/>
          <w:i w:val="false"/>
          <w:caps w:val="false"/>
          <w:smallCaps w:val="false"/>
          <w:sz w:val="20"/>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for purposes of the covenants described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the Incremental Available Amount, if any Indebtedness (other than Indebtedness in respect of the Revolving Facility), Lien, Investment or Disposition (or a portion thereof) would be permitted pursuant to one or more provisions described therein, the Borrower may divide and classify such Indebtedness, Liens, Investments or Disposition (or a portion thereof) in any manner that complies with the covenants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the Incremental Available Amount, and may later divide and reclassify any such Indebtedness, Lien, Investment or Disposition so long as the Indebtedness, Lien, Investment or Disposition (as so redivided and/or reclassified) would be permitted to be made in reliance on the applicable exception as of the date of such redivision or reclassification;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divisions, classifications, redivisions and/or reclassifications shall only be permitted within a specific type of covenant or within the Incremental Available Amount, and not, for the avoidance of doubt, across different types of covenants or across any covenant and the Incremental Available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unless otherwise elected by the Borrower, any utilization of any provision of any covenant described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the Incremental Available Amount originally designated as permitted under a Fixed Amount shall be automatically reclassified as having been permitted under any applicable Incurrence Based Amount if, at the time of such reclassification, such utilization would be permitted under such applicable Incurrence Based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THE CREDITS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The Commitments</w:t>
      </w:r>
      <w:r>
        <w:rPr>
          <w:rFonts w:ascii="Times New Roman;Times;Serif" w:hAnsi="Times New Roman;Times;Serif"/>
          <w:b w:val="false"/>
          <w:i w:val="false"/>
          <w:caps w:val="false"/>
          <w:smallCaps w:val="false"/>
          <w:sz w:val="20"/>
        </w:rPr>
        <w:t>. Subject to the terms and conditions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Revolving Lender agrees to make Revolving Loans in Dollars or in any Agreed Foreign Currency to the Borrower from time to time during the Availability Period in an aggregate principal amount that will not result in (i) such Lender’s Revolving Credit Exposure exceeding such Lender’s Revolving Commitment, (ii) the Aggregate Revolving Credit Exposure exceeding the Aggregate Revolving Commitment or (iii) the aggregate amount 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Exposures denominated in Foreign Currencies exceeding the Aggregate Foreign Currency Sublimit Dollar Amount. Within the foregoing limits and subject to the terms and conditions set forth herein, the Borrower may borrow, prepay and reborrow Revolving Loans. Revolving Loans may be ABR Loans, Alternative Currency Daily Rate Loans, Alternative Currency Term Rate Loans or Term SOFR Loans, as further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2.02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Obligations of Lenders</w:t>
      </w:r>
      <w:r>
        <w:rPr>
          <w:rFonts w:ascii="Times New Roman;Times;Serif" w:hAnsi="Times New Roman;Times;Serif"/>
          <w:b w:val="false"/>
          <w:i w:val="false"/>
          <w:caps w:val="false"/>
          <w:smallCaps w:val="false"/>
          <w:sz w:val="20"/>
        </w:rPr>
        <w:t xml:space="preserve">. Each Loan shall be made as part of a Borrowing consisting of Loans of the same Class, Currency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Type of Loans</w:t>
      </w:r>
      <w:r>
        <w:rPr>
          <w:rFonts w:ascii="Times New Roman;Times;Serif" w:hAnsi="Times New Roman;Times;Serif"/>
          <w:b w:val="false"/>
          <w:i w:val="false"/>
          <w:caps w:val="false"/>
          <w:smallCaps w:val="false"/>
          <w:sz w:val="20"/>
        </w:rPr>
        <w:t xml:space="preserve">. Subject to Section 2.14, each Borrowing shall be constituted entirely of ABR Loans, of Alternative Currency Daily Rate Loans, of Alternative Currency Term Rate Loans or of Term SOFR Loans denominated in a single Currency as the Borrower may request in accordance herewith. Each ABR Loan and Term SOFR Loan shall be denominated in Dollars. Each Lender at its option may make any Loan by causing any domestic or foreign branch or 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to repay such Loan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Minimum Amounts; Limitation on Number of Borrowings</w:t>
      </w:r>
      <w:r>
        <w:rPr>
          <w:rFonts w:ascii="Times New Roman;Times;Serif" w:hAnsi="Times New Roman;Times;Serif"/>
          <w:b w:val="false"/>
          <w:i w:val="false"/>
          <w:caps w:val="false"/>
          <w:smallCaps w:val="false"/>
          <w:sz w:val="20"/>
        </w:rPr>
        <w:t xml:space="preserve">. Each Term SOFR Borrowing and each Alternative Currency Borrowing shall be in an aggregate amount of $1,000,000 or a larger multiple of $100,000. Each ABR Borrowing shall be in an aggregate amount equal to $500,000 or a larger multiple of $100,000;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Borrowing may be in an aggregate amount that is equal to the Aggregate Available Revolving Commitments that is required to finance the reimbursement of an LC Disbursement as contemplated by Section 2.04(f). Borrowings of more than one Currency, Class and Type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twelve Term SOFR Borrowings and Alternative Currency Borrowings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Interest Periods</w:t>
      </w:r>
      <w:r>
        <w:rPr>
          <w:rFonts w:ascii="Times New Roman;Times;Serif" w:hAnsi="Times New Roman;Times;Serif"/>
          <w:b w:val="false"/>
          <w:i w:val="false"/>
          <w:caps w:val="false"/>
          <w:smallCaps w:val="false"/>
          <w:sz w:val="20"/>
        </w:rPr>
        <w:t>. Notwithstanding any other provision of this Agreement, the Borrower shall not be entitled to select any Interest Period with respect to any Borrowing that would end after the applicable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2.03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 by the Borrower</w:t>
      </w:r>
      <w:r>
        <w:rPr>
          <w:rFonts w:ascii="Times New Roman;Times;Serif" w:hAnsi="Times New Roman;Times;Serif"/>
          <w:b w:val="false"/>
          <w:i w:val="false"/>
          <w:caps w:val="false"/>
          <w:smallCaps w:val="false"/>
          <w:sz w:val="20"/>
        </w:rPr>
        <w:t xml:space="preserve">. To request a Borrowing, the Borrower shall irrevocably notify the Administrative Agent which notice may be given by (A) telephone or (B) a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immediately by delivery to the Administrative Agent of a Borrowing Request. Each such Borrowing Request must be received by the Administrative Agent no later than (i) in the case of a Term SOFR Borrowing denominated in Dollars, not later than 12:00 noon, New York City time on the date that is (a) one Business Day prior to the Sixth Restatement Effective Date for a Borrowing to be made on the Sixth Restatement Effective Date and (b) three Business Days before the date of the proposed Borrowing (other than a Borrowing to be made on the Sixth Restatement Effective Date), (ii) in the case of an Alternative Currency Borrowing denominated in English Pounds Sterling or euro, not later than 12:00 noon, London time, four Business Days before the date of the proposed Borrowing, (iii) in the case of an Alternative Currency Borrowing denominated in any Agreed Foreign Currency other than English Pounds Sterling or euro, not later than 12:00 noon, London time, five Business Days before the date of the proposed Borrowing, or (iv) in the case of an ABR Borrowing, not later than 12:00 noon, New York City time, on the date of the proposed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Content of Borrowing Requests</w:t>
      </w:r>
      <w:r>
        <w:rPr>
          <w:rFonts w:ascii="Times New Roman;Times;Serif" w:hAnsi="Times New Roman;Times;Serif"/>
          <w:b w:val="false"/>
          <w:i w:val="false"/>
          <w:caps w:val="false"/>
          <w:smallCaps w:val="false"/>
          <w:sz w:val="20"/>
        </w:rPr>
        <w:t>. Each telephonic and written Borrowing Request shall specify the following information in compliance with Section 2.02: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Class of such Borrowing;</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and Currency of the requested Borrowing;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of such Borrowing, which shall be a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Borrowing denominated in Dollars, whether such Borrowing is to be an ABR Borrowing or a Term SOFR Borrowing;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 Term SOFR Borrowing or an Alternative Currency Borrowing based on Alternative Currency Term Rate, the Interest Period therefor, which shall be a period contemplated by the definition of the term “Interest Period” and permitted under Section 2.02(d);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location and number of the Borrower’s account to which funds are to be disbursed, which shall comply with the requirements of Section 2.05.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by the Administrative Agent to the Lenders</w:t>
      </w:r>
      <w:r>
        <w:rPr>
          <w:rFonts w:ascii="Times New Roman;Times;Serif" w:hAnsi="Times New Roman;Times;Serif"/>
          <w:b w:val="false"/>
          <w:i w:val="false"/>
          <w:caps w:val="false"/>
          <w:smallCaps w:val="false"/>
          <w:sz w:val="20"/>
        </w:rPr>
        <w:t>. Promptly following receipt of a Borrowing Request in accordance with this Section, the Administrative Agent shall advise each applicable Lender of the details thereof and of the amount of such Lender’s Loan to be made as part of the requested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Failure to Elect</w:t>
      </w:r>
      <w:r>
        <w:rPr>
          <w:rFonts w:ascii="Times New Roman;Times;Serif" w:hAnsi="Times New Roman;Times;Serif"/>
          <w:b w:val="false"/>
          <w:i w:val="false"/>
          <w:caps w:val="false"/>
          <w:smallCaps w:val="false"/>
          <w:sz w:val="20"/>
        </w:rPr>
        <w:t>. If no election as to the Currency of a Borrowing is specified, then the requested Borrowing shall be denominated in Dollars. If no election as to the Type of a Borrowing is specified, then the requested Borrowing shall be an ABR Borrowing unless an Agreed Foreign Currency has been specified, in which case the requested Borrowing shall be an Alternative Currency Borrowing denominated in such Agreed Foreign Currency. If no Interest Period is specified with respect to any requested Term SOFR Borrowing or Alternative Currency Term Rate Borrowing, (i) if the Currency specified for such Borrowing is Dollars (or if no Currency has been so specified), the requested Borrowing shall be made instead as an ABR Borrowing, and (ii) if the Currency specified for such Borrowing is an Agreed Foreign Currency, the Borrower shall be deemed to have selected an Interest Period of one month’s duration.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2.04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Subject to the terms and conditions set forth herein, in addition to the Loans provided for in Section 2.01, the Borrower may request that any Issuing Lender issue, at any time and from time to time during the Availability Period, Letters of Credit denominated in Dollars or any Agreed Foreign Currency for its own account in such form as is acceptable to such Issuing Lender in its reasonable determination. Letters of Credit issued hereunder shall constitute utilization of the Revolving Commitments. The Letters of Credit issued or continued for the account of the Borrower under the Existing Credit Agreements and outstanding on the Effective Date were deemed Letters of Credit for all purposes of the Original Credit Agreement and the other Loan Documents pursuant to the terms of the Original Credit Agreement. The Letters of Credit issued or continued for the account of the Borrower under the Original Credit Agreement and outstanding on the First Restatement Effective Date were deemed Letters of Credit for all purposes of the First Restated Credit Agreement and the other Loan Documents pursuant to the terms of the First Restated Credit Agreement. The Letters of Credit issued or continued for the account of the Borrower under the First Restated Credit Agreement and outstanding on the Second Restatement Effective Date were deemed Letters of Credit for all purposes of the Second Restated Credit Agreement and the other Loan Documents pursuant to the terms of the Second Restated Credit Agreement. The Letters of Credit issued or continued for the account of the Borrower under the Second Restated Credit Agreement and outstanding on the Third Restatement Effective Date were deemed Letters of Credit for all purposes of the Third Restated Credit Agreement and the other Loan Documents pursuant to the terms of the Third Restated Credit Agreement. The Letters of Credit issued or continued for the account of the Borrower under the Third Restated Credit Agreement and outstanding on the Fourth Restatement Effective Date were deemed Letters of Credit for all purposes of the Fourth Restated Credit Agreement and the other Loan Documents pursuant to the terms of the Fourth Restated Credit Agreement. The Letters of Credit issued or continued for the account of the Borrower under this Agreement and outstanding on the Fifth Restatement Effective Date were deemed Letters of Credit for all purposes of the Fifth Restated Credit Agreement and the other Loan Documents pursuant to the terms of the Fifth Restated Credit Agreement. The Letters of Credit issued or continued for the account of the Borrower under this Agreement and outstanding on the Sixth Restatement Effective Date (the “</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shall be Letters of Credit for all purposes of this Agreement and the other Loan Documents. The Borrower,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the Revolving Lenders hereby agree that, from and after the Sixth Restatement Effective Date, the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Revolving Lenders shall accrue from the Sixth Restatement Effective Date at the rate provided in Section 2.12(b)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Issuance, Amendment, Renewal or Extension</w:t>
      </w:r>
      <w:r>
        <w:rPr>
          <w:rFonts w:ascii="Times New Roman;Times;Serif" w:hAnsi="Times New Roman;Times;Serif"/>
          <w:b w:val="false"/>
          <w:i w:val="false"/>
          <w:caps w:val="false"/>
          <w:smallCaps w:val="false"/>
          <w:sz w:val="20"/>
        </w:rPr>
        <w:t>. To request the issuance of a Letter of Credit (or the amendment, renewal or extension of an outstanding Letter of Credit), the Borrower shall hand deliver or telecopy (or transmit by electronic communication, if arrangements for doing so have been approved by the applicable Issuing Lender) to the applicable Issuing Lender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(d) of this Section), the amount and Currency of such Letter of Credit, the name and address of the beneficiary thereof and such other information as shall be necessary to prepare, amend, renew or extend such Letter of Credit. If requested by any Issuing Lender, the Borrower also shall submit a Letter of Credit Application on such Issuing Lender’s standard form in connection with any request for a Letter of Credit. Any Letter of Credit may provide for renewal thereof for additional periods of up to 12 months or such longer period of time as may be agreed by the applicable Issuing Lender (which in no event shall extend beyond the date specified in paragraph (d) of this Section, except as otherwise provided therein). In the event of any inconsistency between the terms and conditions of this Agreement and the terms and conditions of any form of Letter of Credit Application or other agreement submitted by the Borrower to, or entered into by the Borrower with, any Issuing Lender relating to any Letter of Credit, the terms and conditions of this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Limitations on Amounts</w:t>
      </w:r>
      <w:r>
        <w:rPr>
          <w:rFonts w:ascii="Times New Roman;Times;Serif" w:hAnsi="Times New Roman;Times;Serif"/>
          <w:b w:val="false"/>
          <w:i w:val="false"/>
          <w:caps w:val="false"/>
          <w:smallCaps w:val="false"/>
          <w:sz w:val="20"/>
        </w:rPr>
        <w: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shall not exceed the Aggregate Letter of Credit Sublimit Amount, (ii) the Aggregate Revolving Credit Exposure shall not exceed the Aggregate Revolving Commitment, (iii) the Revolving Credit Exposure of each Revolving Lender shall not exceed such Revolving Lender’s Commitment, (iv) the aggregate amount of Revolving Credit Exposures denominated in Foreign Currencies shall not exceed the Aggregate Foreign Currency Sublimit Dollar Amount and (v) the LC Obligations attributable to all Letters of Credit issued by any Issuing Lender shall not exceed such Issuing Lender’s LC Commitment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Issuing Lender shall be under any obligation to issue any Letter of Credit if: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order, judgment or decree of any Governmental Authority or arbitrator shall by its terms purport to enjoin or restrain such Issuing Lender from issuing the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Sixth Restatement Effective Date, or shall impose upon such Issuing Lender any unreimbursed loss, cost or expense which was not applicable on the Sixth Restatement Effective Date and which such Issuing Lender in good faith deems material to it;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of such Letter of Credit would violate one or more policies of such Issuing Lender applicable to letters of credit generally;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consented to by the Administrative Agent and such Issuing Lender, such consent not to be unreasonably withheld, the Letter of Credit is in an initial stated amount less than $15,000; 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Revolving Lender is at that time a Defaulting Lender, unless such Issuing Lender has entered into arrangements, including the delivery of cash collateral, reasonably satisfactory to such Issuing Lender (in its sole discretion) with the Borrower or such Revolving Lender to eliminate such Issuing Lender’s actual or potential Fronting Exposure (after giving effect to Section 2.20(c)(i)) with respect to the Defaulting Lender arising from either the Letter of Credit then proposed to be issued or that Letter of Credit and all other LC Obligations as to which such Issuing Lender has actual or potential Fronting Exposure, as it may elect in its reasonable discretion.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Issuing Lender shall be under any obligation to amend any Letter of Credit if (A) such Issuing Lender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Letter of Credit shall expire at or prior to the close of business on the earlier of (i) the date one year (or a later date if agreed to by the applicable Issuing Lender in its sole discretion) after the date of the issuance of such Letter of Credit (or, in the case of any renewal or extension thereof, the date that is one year (or a later date if agreed to by the applicable Issuing Lender in its sole discretion) after such renewal or extension) and (ii) the date that is 10 Business Days prior to the Revolving Commitment Termination Date, unless (x) the termination date in respect of any tranche of Revolving Commitments is later than the Revolving Commitment Termination Date and the Borrower agrees to comply with the requirements of Section 2.04(l) (in which case, subject to clause (y), such Letter of Credit shall terminate no later than the date that is 10 Business Days prior to such later termination date) or (y) the Borrower agrees to either (I) provide cash collateral with respect to such Letters of Credit on such date in accordance with Section 2.04(k) or (II) enter into backstop arrangements reasonably acceptable to the applicable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By the issuance of a Letter of Credit (or an amendment to a Letter of Credit increasing the amount thereof) by any Issuing Lender, and without any further action on the part of such Issuing Lender or the Revolving Lenders, such Issuing Lender hereby grants to each Revolving Lender, and each Revolving Lender hereby acquires from such Issuing Lender, a participation in such Letter of Credit equal to such Revolving Lender’s Applicable Percentage of the aggregate amount available to be drawn under such Letter of Credit.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and in furtherance of the foregoing, each Revolving Lender hereby absolutely and unconditionally agrees to pay to the Administrative Agent, for account of each Issuing Lender, such Revolving Lender’s Applicable Percentage of each LC Disbursement made by such Issuing Lender promptly upon the request of such Issuing Lender at any time from the time of such LC Disbursement until such LC Disbursement is reimbursed by the Borrower or at any time after any reimbursement payment is required to be refunded to the Borrower for any reason. Such payment shall be made in the Currency of such LC Disbursement and without any offset, abatement, withholding or reduction whatsoever. Such payment obligation shall be absolute and unconditional and shall not be affected by any circumstance, including (i) any setoff, counterclaim, recoupment, defense or other right that such Revolving Lender or the Borrower may have against such Issuing Lender, the Borrower or any other Person for any reason whatsoever, (ii) the occurrence or continuance of a Default or the failure to satisfy any of the other conditions specified in Article V, (iii) any adverse change in the condition (financial or otherwise) of the Borrower, (iv) any breach of this Agreement or any other Loan Document by the Borrower, any other Loan Party or any other Lender or (v) any other circumstance, happening or event whatsoever, whether or not similar to any of the foregoing. Each such payment shall be made in the same manner as provided in Section 2.05 with respect to Revolving Loans made by such Revolving Lender (and Section 2.05 shall apply, </w:t>
      </w:r>
      <w:r>
        <w:rPr>
          <w:rFonts w:ascii="Times New Roman;Times;Serif" w:hAnsi="Times New Roman;Times;Serif"/>
          <w:b w:val="false"/>
          <w:i w:val="false"/>
          <w:caps w:val="false"/>
          <w:smallCaps w:val="false"/>
          <w:sz w:val="20"/>
          <w:u w:val="single"/>
        </w:rPr>
        <w:t>mutatis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mutandis</w:t>
      </w:r>
      <w:r>
        <w:rPr>
          <w:rFonts w:ascii="Times New Roman;Times;Serif" w:hAnsi="Times New Roman;Times;Serif"/>
          <w:b w:val="false"/>
          <w:i w:val="false"/>
          <w:caps w:val="false"/>
          <w:smallCaps w:val="false"/>
          <w:sz w:val="20"/>
        </w:rPr>
        <w:t>, to the payment obligations of the Revolving Lenders), and the Administrative Agent shall promptly pay to the applicable Issuing Lender the amounts so received by it from the Revolving Lenders. Promptly following receipt by the Administrative Agent of any payment from the Borrower pursuant to paragraph (f) of this Section, the Administrative Agent shall distribute such payment to the applicable Issuing Lender or, to the extent that the Revolving Lenders have made payments pursuant to this paragraph to reimburse such Issuing Lender, then to such Lenders and such Issuing Lender as their interests may appear. Any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made by a Revolving Lender pursuant to this paragraph to reimburse any Issuing Lender for any LC Disbursement shall not constitute a Loan and shall not relieve the Borrower of its obligation to reimburse such LC Disbursement.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any Issuing Lender shall make any LC Disbursement in respect of a Letter of Credit, the Borrower shall reimburse such Issuing Lender in respect of such LC Disbursement by paying to the Administrative Agent an amount equal to such LC Disbursement (in the same Currency as such LC Disbursement) not later than 12:00 noon, New York City time, on (i) the Business Day that the Borrower receives notice of such LC Disbursement, if such notice is received prior to 10:00 a.m., New York City time, or (ii) the Business Day immediately following the day that such Borrower receives such notice, if such notice is not received prior to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LC Disbursement is in Dollars and is not less than $500,000, the Borrower may, subject to the conditions to borrowing set forth herein, request in accordance with Section 2.03 that such payment be financed with an ABR Borrowing in an equivalent amount and, to the extent so financed, such Borrower’s obligation to make such payment shall be discharged and replaced by the resulting ABR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make such payment when due, the Administrative Agent shall notify each Revolving Lender of the applicable LC Disbursement, the payment then due from the Borrower in respect thereof, the Currency thereof and such Revolving Lender’s Applicable Percentage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The Borrower’s obligation to reimburse LC Disbursements as provided in paragraph (f)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any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Administrative Agent, the Lenders nor the Issuing Lenders, nor any of their Related Parties, shall have any liability or responsibility by reason of or in connection with the issuance or transfer of any Letter of Credit by any Issuing Lender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any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gross negligence or willful misconduct, as determined by a court of competent jurisdiction by a final and nonappealable judgment, when determining whether drafts and other documents presented under a Letter of Credit comply with the terms thereof. The parties hereto expressly agree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Issuing Lender shall have the right, in its sole discretion, to decline to accept such documents and to make such payment if such documents are not in strict compliance with the terms of such Letter of Credit;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this sentence shall establish the standard of care to be exercised by each Issuing Lender when determining whether drafts and other documents presented under a Letter of Credit comply with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thereof (and the parties hereto hereby waive, to the extent permitted by Applicable Law, any standard of care inconsistent with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Each Issuing Lender shall, within a reasonable time following its receipt thereof, examine all documents purporting to represent a demand for payment under a Letter of Credit. Each Issuing Lender shall promptly after such examination notify the Administrative Agent and the Borrower by telephone (confirmed by telecopy) of such demand for payment and whether such Issuing Lender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delay in giving such notice shall not relieve the Borrower of its obligation to reimburse such Issuing Lender and the Revolving Lenders with respect to any such LC Disbursement.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any Issuing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fails to reimburse such LC Disbursement when due pursuant to paragraph (f) of this Section, then Section 2.13(e) shall apply. Interest accrued pursuant to this paragraph shall be for account of the applicable Issuing Lender, except that interest accrued on and after the date of payment by any Revolving Lender pursuant to paragraph (f) of this Section to reimburse such Issuing Lender shall be for account of such Revolving Lender to the extent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Replacement of the Issuing Lender</w:t>
      </w:r>
      <w:r>
        <w:rPr>
          <w:rFonts w:ascii="Times New Roman;Times;Serif" w:hAnsi="Times New Roman;Times;Serif"/>
          <w:b w:val="false"/>
          <w:i w:val="false"/>
          <w:caps w:val="false"/>
          <w:smallCaps w:val="false"/>
          <w:sz w:val="20"/>
        </w:rPr>
        <w:t>. Any Issuing Lender may be replaced at any time by written agreement between the Borrower, the Administrative Agent, the replaced Issuing Lender and the successor Issuing Lender. The Administrative Agent shall notify the Revolving Lenders of any such replacement of any Issuing Lender. At the time any such replacement shall become effective, the Borrower shall pay all unpaid fees accrued for account of the replaced Issuing Lender pursuant to 2.12(b). From and after the effective date of any such replacement, (i) the successor Issuing Lender shall have all the rights and obligations of the replaced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xml:space="preserve">. If an Event of Default shall occur and be continuing and the Borrower receives notice from the Administrative Agent or the Required Revolving Lenders (or, if the maturity of the Revolving Loans has been accelerated, Revolving Lenders with LC Exposures representing more than 50% of the Aggregate LC Exposure) demanding the deposit of cash collateral pursuant to this paragraph, the Borrower shall immediately deposit into the Collateral Account (or such other collateral account as the Administrative Agent shall establish for such purpose) an amount in cash equal to, the Aggregate LC Exposure as of such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described in Section 8.01(h) or (i). Such deposit shall be held by the Administrative Agent in the Collateral Account as Collateral in the first instance for the Aggregate LC Exposure under this Agreement and thereafter for the payment of the “Obligations” under and as defined in the Guarantee and Collateral Agreement, and for these purposes the Borrower hereby grants a security interest to the Administrative Agent for the benefit of the Secured Parties in the Collateral Account (or such other collateral account, as applicable) and in any financial assets (as defined in the Uniform Commercial Code) or other property held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Treatment of Letters of Credit Upon Maturity of Any Tranche of Commitments</w:t>
      </w:r>
      <w:r>
        <w:rPr>
          <w:rFonts w:ascii="Times New Roman;Times;Serif" w:hAnsi="Times New Roman;Times;Serif"/>
          <w:b w:val="false"/>
          <w:i w:val="false"/>
          <w:caps w:val="false"/>
          <w:smallCaps w:val="false"/>
          <w:sz w:val="20"/>
        </w:rPr>
        <w:t>. If the termination date in respect of any tranche of Revolving Commitments occurs prior to the expiration of any Letter of Credit, then (i) if one or more other tranches of Revolving Commitments in respect of which the termination date shall not have occurred are then in effect, (x) the outstanding Loans shall be repaid pursuant to Section 2.10 on such termination date in an amount sufficient to permit the reallocation of the LC Obligations relating to the outstanding Letters of Credit contemplated by clause (y) below and (y) such Letters of Credit shall automatically be deemed to have been issued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for purposes of the obligations of the Lenders to purchase participations therein and to make payments in respect thereof pursuant to Section 2.04(e)) under (and ratably participated in by Lenders pursuant to) the Revolving Commitments in respect of such non-terminating tranches up to an aggregate amount not to exceed the aggregate principal amount of the Revolving Commitments in respect of such non-terminating tranches at such time (it being understood that the participations therein of Lenders under the maturing tranche shall be correspondingly released) and (ii) to the extent not reallocated pursuant to immediately preceding clause (i), but without limiting the obligations with respect thereto, the Borrower shall either (I) provide cash collateral with respect to such Letters of Credit on such date in accordance with Section 2.04(k) or (II) enter into backstop arrangements reasonably acceptable to each applicable Issuing Lender. If, for any reason, such cash collateral is not provided, such backstop arrangements are not entered into and the reallocation does not occur, the Lenders under the maturing tranche shall continue to be responsible for their participating interests in the Letters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herein, (A) the continuing participations of the Lenders under the maturing tranche shall be included in the calculation of the Required Lenders (with each such Lender’s participation deemed to be its outstanding LC Exposure) and (B) upon any subsequent repayment of the Loans, the reallocation set forth in clause (i) shall automatically and concurrently occur to the extent of such repayment. Except to the extent of reallocations of participations pursuant to clause (i) of the second preceding sentence, the occurrence of a termination date with respect to a given tranche of Revolving Commitments shall have no effect upon (and shall not diminish) the percentage participations of the Lenders in any Letter of Credit issued before such termination date. Commencing with the termination date of any tranche of Revolving Commitments, the sublimit for Letters of Credit under any tranche of Revolving Commitments that has not terminated on such date shall be as agreed with such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sublimit be less than the sum of (x) the LC Obligations of the Lenders under such extended tranche immediately prior to such termination date and, without duplication, (y) the face amount of the Letters of Credit reallocated to such tranche of Revolving Commitments pursuant to clause (i) of the second preceding sentence (assuming Loans are repaid in accordance with clause (i)(x) of the second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2.05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Funding by Lenders</w:t>
      </w:r>
      <w:r>
        <w:rPr>
          <w:rFonts w:ascii="Times New Roman;Times;Serif" w:hAnsi="Times New Roman;Times;Serif"/>
          <w:b w:val="false"/>
          <w:i w:val="false"/>
          <w:caps w:val="false"/>
          <w:smallCaps w:val="false"/>
          <w:sz w:val="20"/>
        </w:rPr>
        <w:t xml:space="preserve">. Each Lender shall make each Loan to be made by it hereunder on the proposed date thereof by wire transfer of immediately available funds by 3:00 p.m., Local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designated by the Borrower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ABR Borrowings made to finance the reimbursement of an LC Disbursement as provided in Section 2.04(f) shall be remitted by the Administrative Agent to the applicable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Presumption by the Administrative Agent</w:t>
      </w:r>
      <w:r>
        <w:rPr>
          <w:rFonts w:ascii="Times New Roman;Times;Serif" w:hAnsi="Times New Roman;Times;Serif"/>
          <w:b w:val="false"/>
          <w:i w:val="false"/>
          <w:caps w:val="false"/>
          <w:smallCaps w:val="false"/>
          <w:sz w:val="20"/>
        </w:rPr>
        <w: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Overnight Rate and a rate determined by the Administrative Agent in accordance with banking industry rules on interbank compensation or (ii) in the case of the Borrower, the interest rate applicable to ABR Loans or, in the case of Agreed Foreign Currencies, in accordance with such market practice, in each case together with any related reasonable out-of-pocket costs incurred by the Administrative Agent. If such Lender pays such amount to the Administrative Agent, then such amount shall constitute such Lender’s Loan included in such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Sixth Restatement Effective Date, all Existing Revolving Loans shall be deemed repaid and the portion thereof requested by the Borrower to be borrowed on the Sixth Restatement Effective Date shall be deemed reborrowed as Revolving Loans hereunder by the Borrower provided that each such reborrowed Revolving Loan shall be deemed made in the same Type and currency as the relevant Existing Revolving Loan (it being understood that for each tranche of Existing Loans that were Term SOFR Loans or Alternative Currency Term Rate Loans, (x) the initial</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for the relevant reborrowed Term SOFR Loans or Alternative Currency Term Rate Loans shall equal the remaining length of the Interest Period for such tranche and (y) the Term SOFR or the Alternative Currency Term Rate for the relevant reborrowed Term SOFR Loans or Alternative Currency Term Rate Loans, as applicable, during such initial Interest Period shall be the Term SOFR or Alternative Currency Term Rate, as applicable, for such tranche immediately prior to the Sixth Restatement Effective Date). Any Revolving Lenders that are not Existing Revolving Lenders (and any Existing Revolving Lenders with Revolving Commitments as of the Sixth Restatement Effective Date that are greater than their Existing Revolving Commitments) shall advance funds (in the relevant currency) to the Administrative Agent on the Sixth Restatement Effective Date as shall be required to repay the portion of the Revolving Loans of Existing Revolving Lenders such that each Revolving Lender’s share of outstanding Revolving Loans on the Sixth Restatement Effective Date is equal to its Applicable Percentage (after giving effect to the Sixth Restatement Effective Date). For the avoidance of doubt, the repayment and reborrowing set forth in this Section 2.05(c) shall not cause any break funding payments (including any break funding payments as set forth in Section 2.16).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Elections by the Borrower</w:t>
      </w:r>
      <w:r>
        <w:rPr>
          <w:rFonts w:ascii="Times New Roman;Times;Serif" w:hAnsi="Times New Roman;Times;Serif"/>
          <w:b w:val="false"/>
          <w:i w:val="false"/>
          <w:caps w:val="false"/>
          <w:smallCaps w:val="false"/>
          <w:sz w:val="20"/>
        </w:rPr>
        <w:t xml:space="preserve">. The Loans constituting each Borrowing initially shall be of the Type specified in the applicable Borrowing Request and, in the case of a Term SOFR Borrowing or an Alternative Currency Borrowing based on Alternative Currency Term Rate, shall have the Interest Period specified in such Borrowing Request. Thereafter, the Borrower may elect to convert such Borrowing to a Borrowing of a different Type or to continue such Borrowing as a Borrowing of the same Type and, in the case of a Term SOFR Borrowing or Alternative Currency Borrowing based on Alternative Currency Term Rate, may elect the Interest Period therefor, all as provided in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 Borrowing denominated in one Currency may not be continued as, or converted to, a Borrowing in a different Currency, (ii) no Term SOFR Borrowing or Alternative Currency Borrowing denominated in a Foreign Currency may be continued if, after giving effect thereto, the Aggregate Revolving Credit Exposure would exceed the Aggregate Revolving Commitment, and (iii) a Term SOFR Borrowing or Alternative 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holding the Loans constituting such Borrowing, and the Loans constituting each such portion shall be considered a separate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Elections</w:t>
      </w:r>
      <w:r>
        <w:rPr>
          <w:rFonts w:ascii="Times New Roman;Times;Serif" w:hAnsi="Times New Roman;Times;Serif"/>
          <w:b w:val="false"/>
          <w:i w:val="false"/>
          <w:caps w:val="false"/>
          <w:smallCaps w:val="false"/>
          <w:sz w:val="20"/>
        </w:rPr>
        <w:t xml:space="preserve">. To make an election pursuant to this Section, the Borrower shall irrevocably notify the Administrative Agent of such election by (A) telephone or through (B) an Interest Election Request;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telephonic notice will be followed immediately by delivery of an Interest Election Request, in either case, by the time that a Borrowing Request would be required under Section 2.03 if the Borrower were requesting a Borrowing of the Type resulting from such election to be made on the effective date of such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Content of Interest Election Requests</w:t>
      </w:r>
      <w:r>
        <w:rPr>
          <w:rFonts w:ascii="Times New Roman;Times;Serif" w:hAnsi="Times New Roman;Times;Serif"/>
          <w:b w:val="false"/>
          <w:i w:val="false"/>
          <w:caps w:val="false"/>
          <w:smallCaps w:val="false"/>
          <w:sz w:val="20"/>
        </w:rPr>
        <w:t>. Each telephonic and written Interest Election Request shall specify the following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paragraph shall be specified for each resulting Borrowing);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in the case of a Borrowing denominated in Dollars, the resulting Borrowing is to be an ABR Borrowing or a Term SOFR Borrowing;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an Alternative Currency Borrowing based on the Alternative Currency Term Rate or a Term SOFR Borrowing, the Interest Period therefor after giving effect to such election, which shall be a period contemplated by the definition of the term “Interest Period” and permitted under Section 2.02(d).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by the Administrative Agent to the Lenders</w:t>
      </w:r>
      <w:r>
        <w:rPr>
          <w:rFonts w:ascii="Times New Roman;Times;Serif" w:hAnsi="Times New Roman;Times;Serif"/>
          <w:b w:val="false"/>
          <w:i w:val="false"/>
          <w:caps w:val="false"/>
          <w:smallCaps w:val="false"/>
          <w:sz w:val="20"/>
        </w:rPr>
        <w:t>. Promptly following receipt of an Interest Election Request, the Administrative Agent shall advise each applicable Lender of the details thereof and of such Lender’s portion of each resulting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Elect; Events of Default</w:t>
      </w:r>
      <w:r>
        <w:rPr>
          <w:rFonts w:ascii="Times New Roman;Times;Serif" w:hAnsi="Times New Roman;Times;Serif"/>
          <w:b w:val="false"/>
          <w:i w:val="false"/>
          <w:caps w:val="false"/>
          <w:smallCaps w:val="false"/>
          <w:sz w:val="20"/>
        </w:rPr>
        <w:t>. If the Borrower fails to deliver a timely and complete Interest Election Request with respect to a Term SOFR Borrowing or an Alternative Currency Borrowing prior to the end of the Interest Period therefor, then, unless such Borrowing is repaid as provided herein, (i) if such Borrowing is denominated in Dollars, at the end of such Interest Period such Borrowing shall be converted to an ABR Borrowing, and (ii) if such Borrowing is an Alternative Currency Term Rate Borrowing, such Borrower shall be deemed to have selected an Interest Period of one month’s duration. Notwithstanding any contrary provision hereof, if an Event of Default has occurred and is continuing and the Administrative Agent, at the request of the Required Lenders, so notifies the Borrower, then, so long as an Event of Default is continuing (A) no outstanding Borrowing denominated in Dollars may be converted to or continued as a Term SOFR Borrowing, (B) unless repaid, each Term SOFR Borrowing denominated in Dollars shall be converted to an ABR Borrowing at the end of the Interest Period therefor and (C) no outstanding Alternative Currency Borrowing denominated in a Foreign Currency may have an Interest Period of more than one month’s duration.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2.07 </w:t>
      </w:r>
      <w:r>
        <w:rPr>
          <w:rFonts w:ascii="Times New Roman;Times;Serif" w:hAnsi="Times New Roman;Times;Serif"/>
          <w:b w:val="false"/>
          <w:i w:val="false"/>
          <w:caps w:val="false"/>
          <w:smallCaps w:val="false"/>
          <w:sz w:val="20"/>
          <w:u w:val="single"/>
        </w:rPr>
        <w:t>Refinancing Facilities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written notice to the Administrative Agent (which shall promptly notify the Lenders), the Borrower may from time to time elect to refinance any Class of Term Loans (including Incremental Term Loans) or Commitments under the Revolving Facility, in whole or in part, with one or more new term loan facilities (each, a “</w:t>
      </w:r>
      <w:r>
        <w:rPr>
          <w:rFonts w:ascii="Times New Roman;Times;Serif" w:hAnsi="Times New Roman;Times;Serif"/>
          <w:b w:val="false"/>
          <w:i w:val="false"/>
          <w:caps w:val="false"/>
          <w:smallCaps w:val="false"/>
          <w:sz w:val="20"/>
          <w:u w:val="single"/>
        </w:rPr>
        <w:t>Refinancing Term Facility</w:t>
      </w:r>
      <w:r>
        <w:rPr>
          <w:rFonts w:ascii="Times New Roman;Times;Serif" w:hAnsi="Times New Roman;Times;Serif"/>
          <w:b w:val="false"/>
          <w:i w:val="false"/>
          <w:caps w:val="false"/>
          <w:smallCaps w:val="false"/>
          <w:sz w:val="20"/>
        </w:rPr>
        <w:t>”; and the loans thereunder, “</w:t>
      </w:r>
      <w:r>
        <w:rPr>
          <w:rFonts w:ascii="Times New Roman;Times;Serif" w:hAnsi="Times New Roman;Times;Serif"/>
          <w:b w:val="false"/>
          <w:i w:val="false"/>
          <w:caps w:val="false"/>
          <w:smallCaps w:val="false"/>
          <w:sz w:val="20"/>
          <w:u w:val="single"/>
        </w:rPr>
        <w:t>Refinancing Term Loans</w:t>
      </w:r>
      <w:r>
        <w:rPr>
          <w:rFonts w:ascii="Times New Roman;Times;Serif" w:hAnsi="Times New Roman;Times;Serif"/>
          <w:b w:val="false"/>
          <w:i w:val="false"/>
          <w:caps w:val="false"/>
          <w:smallCaps w:val="false"/>
          <w:sz w:val="20"/>
        </w:rPr>
        <w:t>”) or new revolving credit facilities (each, a “</w:t>
      </w:r>
      <w:r>
        <w:rPr>
          <w:rFonts w:ascii="Times New Roman;Times;Serif" w:hAnsi="Times New Roman;Times;Serif"/>
          <w:b w:val="false"/>
          <w:i w:val="false"/>
          <w:caps w:val="false"/>
          <w:smallCaps w:val="false"/>
          <w:sz w:val="20"/>
          <w:u w:val="single"/>
        </w:rPr>
        <w:t>Refinancing Revolving Facility</w:t>
      </w:r>
      <w:r>
        <w:rPr>
          <w:rFonts w:ascii="Times New Roman;Times;Serif" w:hAnsi="Times New Roman;Times;Serif"/>
          <w:b w:val="false"/>
          <w:i w:val="false"/>
          <w:caps w:val="false"/>
          <w:smallCaps w:val="false"/>
          <w:sz w:val="20"/>
        </w:rPr>
        <w:t>”; the Refinancing Term Facilities and the Refinancing Revolving Facilities are collectively referred to as “</w:t>
      </w:r>
      <w:r>
        <w:rPr>
          <w:rFonts w:ascii="Times New Roman;Times;Serif" w:hAnsi="Times New Roman;Times;Serif"/>
          <w:b w:val="false"/>
          <w:i w:val="false"/>
          <w:caps w:val="false"/>
          <w:smallCaps w:val="false"/>
          <w:sz w:val="20"/>
          <w:u w:val="single"/>
        </w:rPr>
        <w:t>Refinancing Facilities</w:t>
      </w:r>
      <w:r>
        <w:rPr>
          <w:rFonts w:ascii="Times New Roman;Times;Serif" w:hAnsi="Times New Roman;Times;Serif"/>
          <w:b w:val="false"/>
          <w:i w:val="false"/>
          <w:caps w:val="false"/>
          <w:smallCaps w:val="false"/>
          <w:sz w:val="20"/>
        </w:rPr>
        <w:t xml:space="preserve">”), respectively, under this Agreement with the consent of the Borrower, the Administrative Agent (not to be unreasonably withheld, delayed or conditioned) and the institutions providing such Refinancing Term Facility or Refinancing Revolving Facility (it being understood that such Refinancing Facility may be provided by one or more existing Lenders) or with one or more series of (1) senior or subordinated unsecured notes, (2) senior secured notes that will be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Facilities or (3) junior lien secured notes or loans that will be secured by the Collateral on a junior basis with the Facilities, which will be subject to customary intercreditor arrangements reasonably satisfactory to the Administrative Agent and the Borrower (any such notes or loans in sub-clauses (1) through (3), “</w:t>
      </w:r>
      <w:r>
        <w:rPr>
          <w:rFonts w:ascii="Times New Roman;Times;Serif" w:hAnsi="Times New Roman;Times;Serif"/>
          <w:b w:val="false"/>
          <w:i w:val="false"/>
          <w:caps w:val="false"/>
          <w:smallCaps w:val="false"/>
          <w:sz w:val="20"/>
          <w:u w:val="single"/>
        </w:rPr>
        <w:t>Refinancing Notes</w:t>
      </w:r>
      <w:r>
        <w:rPr>
          <w:rFonts w:ascii="Times New Roman;Times;Serif" w:hAnsi="Times New Roman;Times;Serif"/>
          <w:b w:val="false"/>
          <w:i w:val="false"/>
          <w:caps w:val="false"/>
          <w:smallCaps w:val="false"/>
          <w:sz w:val="20"/>
        </w:rPr>
        <w:t>”; and the Indebtedness in respect of any Refinancing Facilities or Refinancing Notes, “</w:t>
      </w:r>
      <w:r>
        <w:rPr>
          <w:rFonts w:ascii="Times New Roman;Times;Serif" w:hAnsi="Times New Roman;Times;Serif"/>
          <w:b w:val="false"/>
          <w:i w:val="false"/>
          <w:caps w:val="false"/>
          <w:smallCaps w:val="false"/>
          <w:sz w:val="20"/>
          <w:u w:val="single"/>
        </w:rPr>
        <w:t>Refinancing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Refinancing Term Facility or Refinancing Notes do not mature, or have a weighted average life to maturity, earlier than the final maturity, or the weighted average life, of the Class of Incremental Term Loans being refinanced, (ii) any Refinancing Notes are not subject to any amortization prior to final maturity and are not subject to mandatory redemption or prepayment (except customary asset sales or change of control or similar provisions and “AHYDO” payments); (iii) any Refinancing Revolving Facility does not mature prior to the maturity date of the Revolving Commitments and Revolving Loans being refinanced, (iv) the other terms and conditions of such Refinancing Term Facility, Refinancing Revolving Facility or Refinancing Notes (excluding pricing, fees, rate floors and optional prepayment or redemption terms) are substantially consistent with, or (when taken as a whole) no more favorable to the investors and lenders providing such Refinancing Term Facility, Refinancing Revolving Facility or Refinancing Notes, as applicable, than those applicable to the Incremental Term Loans or the Revolving Commitments and Revolving Loans being refinanced (each as determined by the Borrower in good faith) (except for covenants or other provisions applicable only to periods after the latest final maturity date of the Incremental Term Loans and the Revolving Commitments existing at the time of such refinancing), (v) the proceeds of such Refinancing Facilities or Refinancing Notes shall be applied, substantially concurrently with the incurrence thereof, to the pro rata prepayment of outstanding loans (and, in the case of the Revolving Facility, pro rata commitment reductions) under the applicable Class of Incremental Term Loans or Revolving Commitments being so refinanced, (vi) to the extent secured, any such Refinancing Facility or Refinancing Notes shall not be secured by any Lien on any asset that does not also secure the Facilities, (vii) Refinancing Facilities and Refinancing Notes may not be guaranteed by any person other than a Loan Party and (viii) the aggregate principal amount of any Refinancing Facility or Refinancing Notes shall not be greater than the aggregate principal amount of the Incremental Term Loans or Revolving Loans and Revolving Commitments (as applicable) being refinanced or replaced plus any fees, premiums (including tender premiums), penalties and fees payable by the terms of such applicable Class of Incremental Term Loans or Revolving Commitments being so</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refinanced, original issue discount, and accrued interest associated therewith, fees (including upfront fees), costs and expenses related thereto, and such Incremental Term Loans or Revolving Loans and Revolving Commitments being refinanced or replaced will be permanently reduced and/or prepaid substantially simultaneously with the issuance thereof. Each such notice shall specify the date (each, a “</w:t>
      </w:r>
      <w:r>
        <w:rPr>
          <w:rFonts w:ascii="Times New Roman;Times;Serif" w:hAnsi="Times New Roman;Times;Serif"/>
          <w:b w:val="false"/>
          <w:i w:val="false"/>
          <w:caps w:val="false"/>
          <w:smallCaps w:val="false"/>
          <w:sz w:val="20"/>
          <w:u w:val="single"/>
        </w:rPr>
        <w:t>Refinancing Effective Date</w:t>
      </w:r>
      <w:r>
        <w:rPr>
          <w:rFonts w:ascii="Times New Roman;Times;Serif" w:hAnsi="Times New Roman;Times;Serif"/>
          <w:b w:val="false"/>
          <w:i w:val="false"/>
          <w:caps w:val="false"/>
          <w:smallCaps w:val="false"/>
          <w:sz w:val="20"/>
        </w:rPr>
        <w:t>”) on which the Borrower proposes that the Refinancing Facility shall be made or the Refinancing Notes shall be issued, which shall be a date not less than three (3) Business Days after the date on which such notice is delivered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approach any Lender or any other Person to provide all or a portion of the (x) Refinancing Facilities (a “</w:t>
      </w:r>
      <w:r>
        <w:rPr>
          <w:rFonts w:ascii="Times New Roman;Times;Serif" w:hAnsi="Times New Roman;Times;Serif"/>
          <w:b w:val="false"/>
          <w:i w:val="false"/>
          <w:caps w:val="false"/>
          <w:smallCaps w:val="false"/>
          <w:sz w:val="20"/>
          <w:u w:val="single"/>
        </w:rPr>
        <w:t>Refinancing Facility Lender</w:t>
      </w:r>
      <w:r>
        <w:rPr>
          <w:rFonts w:ascii="Times New Roman;Times;Serif" w:hAnsi="Times New Roman;Times;Serif"/>
          <w:b w:val="false"/>
          <w:i w:val="false"/>
          <w:caps w:val="false"/>
          <w:smallCaps w:val="false"/>
          <w:sz w:val="20"/>
        </w:rPr>
        <w:t xml:space="preserve">”), subject to the approval of the Administrative Agent and the Issuing Lender (which approvals shall not be unreasonably withheld and shall only be necessary to the extent required under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for assignments thereto), so long as such Person would be an eligible assignee of Incremental Term Loans or Revolving Loans, as applicable, or (y) Refinancing Notes (a “</w:t>
      </w:r>
      <w:r>
        <w:rPr>
          <w:rFonts w:ascii="Times New Roman;Times;Serif" w:hAnsi="Times New Roman;Times;Serif"/>
          <w:b w:val="false"/>
          <w:i w:val="false"/>
          <w:caps w:val="false"/>
          <w:smallCaps w:val="false"/>
          <w:sz w:val="20"/>
          <w:u w:val="single"/>
        </w:rPr>
        <w:t>Refinancing Note Holder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Lender offered or approached to provide all or a portion of any Refinancing Facility and/or Refinancing Notes may elect or decline, in its sole discretion, to provide a Refinancing Facility or purchase Refinancing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and the Lenders hereby consent to the transactions contemplated by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(including, for the avoidance of doubt, the payment of interest, fees, amortization or premium in respect of the Refinancing Facilities and Refinancing Notes on the terms specified by the Borrower) and hereby waive the requirements of this Agreement or any other Loan Document that may otherwise prohibit any transaction contemplated by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The Refinancing Facilities shall be established pursuant to an amendment to this Agreement among the Borrower and the Refinancing Facility Lenders providing such Refinancing Facilities (a “</w:t>
      </w:r>
      <w:r>
        <w:rPr>
          <w:rFonts w:ascii="Times New Roman;Times;Serif" w:hAnsi="Times New Roman;Times;Serif"/>
          <w:b w:val="false"/>
          <w:i w:val="false"/>
          <w:caps w:val="false"/>
          <w:smallCaps w:val="false"/>
          <w:sz w:val="20"/>
          <w:u w:val="single"/>
        </w:rPr>
        <w:t>Refinancing Amendment</w:t>
      </w:r>
      <w:r>
        <w:rPr>
          <w:rFonts w:ascii="Times New Roman;Times;Serif" w:hAnsi="Times New Roman;Times;Serif"/>
          <w:b w:val="false"/>
          <w:i w:val="false"/>
          <w:caps w:val="false"/>
          <w:smallCaps w:val="false"/>
          <w:sz w:val="20"/>
        </w:rPr>
        <w:t xml:space="preserve">”) which shall be consistent with the provisions set forth in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Refinancing Notes shall be established pursuant to an indenture which shall be consistent with the provisions set forth in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Notwithstanding the foregoing, no Refinancing Facility shall become effective under this Section 2.07 (i) unless on the Refinancing Effective Date, the conditions set forth in Section 5.02 shall be satisfied or waived and the Administrative Agent shall have received a certificate to that effect dated such date and executed by a Responsible Officer of the Borrower and (ii) the Administrative Agent shall have received, to the extent reasonably requested by the Administrative Agent, customary legal opinions, board resolutions and other customary closing certificates and documentation consistent with those delivered on the Sixth Restatement Effective Date. Notwithstanding anything to the contrary contained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each Refinancing Amendment shall be binding on the Lenders, the Administrative Agent, the Loan Parties party thereto and the other parties hereto without the consent of any other Lender and the Lenders hereby irrevocably authorize the Administrative Agent to enter into amendments to this Agreement and the other Loan Documents as may be necessary or appropriate in the reasonable opinion of the Administrative Agent and the Borrower, to effect the provisions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including in order to establish new tranches or sub-tranches in respect of the Refinancing Facilities and such technical amendments as may be necessary or appropriate in connection therewith and to adjust the amortization schedule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(insofar as such schedule relates to payments due to Lenders of the Incremental Term Loans which are being refinanced with the proceeds of a Refinancing Term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amendment shall reduce the pro rata share of any such payment that would have otherwise been payable to the Lenders, the Incremental Term Loans of which are not refinanced with the proceeds of a Refinancing Term Facility). The Administrative Agent shall be permitted, and is hereby authorized, to enter into such amendments with the Borrower to effect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2.08 </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by written notice to the Administrative Agent elect to request (x) prior to the Revolving Commitment Termination Date, an increase to the existing Revolving Commitments (each, an “</w:t>
      </w:r>
      <w:r>
        <w:rPr>
          <w:rFonts w:ascii="Times New Roman;Times;Serif" w:hAnsi="Times New Roman;Times;Serif"/>
          <w:b w:val="false"/>
          <w:i w:val="false"/>
          <w:caps w:val="false"/>
          <w:smallCaps w:val="false"/>
          <w:sz w:val="20"/>
          <w:u w:val="single"/>
        </w:rPr>
        <w:t>Incremental Revolving Commitment</w:t>
      </w:r>
      <w:r>
        <w:rPr>
          <w:rFonts w:ascii="Times New Roman;Times;Serif" w:hAnsi="Times New Roman;Times;Serif"/>
          <w:b w:val="false"/>
          <w:i w:val="false"/>
          <w:caps w:val="false"/>
          <w:smallCaps w:val="false"/>
          <w:sz w:val="20"/>
        </w:rPr>
        <w:t>”, and any such increase, an “</w:t>
      </w:r>
      <w:r>
        <w:rPr>
          <w:rFonts w:ascii="Times New Roman;Times;Serif" w:hAnsi="Times New Roman;Times;Serif"/>
          <w:b w:val="false"/>
          <w:i w:val="false"/>
          <w:caps w:val="false"/>
          <w:smallCaps w:val="false"/>
          <w:sz w:val="20"/>
          <w:u w:val="single"/>
        </w:rPr>
        <w:t>Incremental Revolving Facility</w:t>
      </w:r>
      <w:r>
        <w:rPr>
          <w:rFonts w:ascii="Times New Roman;Times;Serif" w:hAnsi="Times New Roman;Times;Serif"/>
          <w:b w:val="false"/>
          <w:i w:val="false"/>
          <w:caps w:val="false"/>
          <w:smallCaps w:val="false"/>
          <w:sz w:val="20"/>
        </w:rPr>
        <w:t>”) and/or (y) the establishment of one or more new term loan commitments (each, an “</w:t>
      </w:r>
      <w:r>
        <w:rPr>
          <w:rFonts w:ascii="Times New Roman;Times;Serif" w:hAnsi="Times New Roman;Times;Serif"/>
          <w:b w:val="false"/>
          <w:i w:val="false"/>
          <w:caps w:val="false"/>
          <w:smallCaps w:val="false"/>
          <w:sz w:val="20"/>
          <w:u w:val="single"/>
        </w:rPr>
        <w:t>Incremental Term Commitment</w:t>
      </w:r>
      <w:r>
        <w:rPr>
          <w:rFonts w:ascii="Times New Roman;Times;Serif" w:hAnsi="Times New Roman;Times;Serif"/>
          <w:b w:val="false"/>
          <w:i w:val="false"/>
          <w:caps w:val="false"/>
          <w:smallCaps w:val="false"/>
          <w:sz w:val="20"/>
        </w:rPr>
        <w:t>” (and together with the Incremental Revolving Commitments, the “</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 and any such increase, an “</w:t>
      </w:r>
      <w:r>
        <w:rPr>
          <w:rFonts w:ascii="Times New Roman;Times;Serif" w:hAnsi="Times New Roman;Times;Serif"/>
          <w:b w:val="false"/>
          <w:i w:val="false"/>
          <w:caps w:val="false"/>
          <w:smallCaps w:val="false"/>
          <w:sz w:val="20"/>
          <w:u w:val="single"/>
        </w:rPr>
        <w:t>Incremental Term Facility</w:t>
      </w:r>
      <w:r>
        <w:rPr>
          <w:rFonts w:ascii="Times New Roman;Times;Serif" w:hAnsi="Times New Roman;Times;Serif"/>
          <w:b w:val="false"/>
          <w:i w:val="false"/>
          <w:caps w:val="false"/>
          <w:smallCaps w:val="false"/>
          <w:sz w:val="20"/>
        </w:rPr>
        <w:t>” and, together with any Incremental Revolving Facility, the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by an aggregate amount, together with the aggregate principal amount of all Incremental Equivalent Debt, not in excess of the Incremental Available Amount; provided that, with respect to any Incremental Term Commitment the primary purpose of which is to finance a Permitted Acquisition or similar Investment permitted by this Agreement, whose consummation is not conditioned on the availability of, or on obtaining, financing, the Incremental Ratio Amount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at the Borrower’s option, be tested on a pro forma basis giving effect to such Permitted Acquisition or similar Investment, as applicable, at the time the definitive agreements for such Permitted Acquisition or similar Investment, as applicable, are entered into rather than at the time of incurrence of the Incremental Term Loans (and, in connection with any subsequent calculation of such ratio or any incurrence ratio under Section 7.01(a)(xxiii) prior to the consummation or termination of such Permitted Acquisition or similar Investment, as applicable, such ratio shall be calculated on a pro forma basis giving effect to such Permitted Acquisition or similar Investment, as applicable, and other transactions in connection therewith (including any incurrence of Indebtedness and the use of proceeds thereof)). Each such notice shall specify (i) the date (each, an “</w:t>
      </w:r>
      <w:r>
        <w:rPr>
          <w:rFonts w:ascii="Times New Roman;Times;Serif" w:hAnsi="Times New Roman;Times;Serif"/>
          <w:b w:val="false"/>
          <w:i w:val="false"/>
          <w:caps w:val="false"/>
          <w:smallCaps w:val="false"/>
          <w:sz w:val="20"/>
          <w:u w:val="single"/>
        </w:rPr>
        <w:t>Increase Effective Date</w:t>
      </w:r>
      <w:r>
        <w:rPr>
          <w:rFonts w:ascii="Times New Roman;Times;Serif" w:hAnsi="Times New Roman;Times;Serif"/>
          <w:b w:val="false"/>
          <w:i w:val="false"/>
          <w:caps w:val="false"/>
          <w:smallCaps w:val="false"/>
          <w:sz w:val="20"/>
        </w:rPr>
        <w:t>”) on which the Borrower proposes that the Incremental Commitments shall be effective, which shall be a date not less than 10 Business Days after the date on which such notice is delivered to the Administrative Agent (or such shorter period as may be agreed to by the Administrative Agent in its sole discretion) and (ii) the identity of each Lender to whom the Borrower proposes any portion of such Incremental Commitments be allocated and the amounts of such allocations; provided that any existing Lender approached to provide all or a portion of the Incremental Commitments may elect or decline, in its sole discretion, to provide such Incremental Commitment. Each Incremental Commitment shall be in an aggregate amount of $10,000,000 or any whole multiple of $1,000,000 in excess thereof (provided that such amount may be less than $10,000,000 if such amount represents all remaining availability under the aggregate limit in respect of Incremental Commitments set forth in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proceeds in connection with any Incremental Commitment may be used by the Borrower and its Subsidiaries for working capital and other general corporate purposes, including the financing of Permitted Acquisitions and other Investments and any other use not prohibited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The Incremental Commitments shall become effective as of the Increase Effective Date;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of the conditions set forth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be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Default or Event of Default shall have occurred and be continuing or would result from the Incremental Loans to be made on the Increase Effective Date; provided that in the case of any Incremental Term Loan the proceeds of which are to be used (in whole or in part) to finance a Limited Condition Transaction, at the election of the Borrower, this clause (ii) shall be tested on the applicable LCT Test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Borrower shall make any breakage payments in connection with any adjustment of Revolving Loans pursuant to </w:t>
      </w:r>
      <w:r>
        <w:rPr>
          <w:rFonts w:ascii="Times New Roman;Times;Serif" w:hAnsi="Times New Roman;Times;Serif"/>
          <w:b w:val="false"/>
          <w:i w:val="false"/>
          <w:caps w:val="false"/>
          <w:smallCaps w:val="false"/>
          <w:sz w:val="20"/>
          <w:u w:val="single"/>
        </w:rPr>
        <w:t>Section 2.08(d)</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shall deliver or cause to be delivered officer’s certificates and legal opinions of the type delivered on the Sixth Restatement Effective Date to the extent reasonably requested by, and in form and substance reasonably satisfactory to, the Administrative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Terms of Incremental Loans and Incremental Commitments</w:t>
      </w:r>
      <w:r>
        <w:rPr>
          <w:rFonts w:ascii="Times New Roman;Times;Serif" w:hAnsi="Times New Roman;Times;Serif"/>
          <w:b w:val="false"/>
          <w:i w:val="false"/>
          <w:caps w:val="false"/>
          <w:smallCaps w:val="false"/>
          <w:sz w:val="20"/>
        </w:rPr>
        <w:t>. The terms and provisions of Loans made pursuant to Incremental Commitments shall be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terms and provisions of Incremental Term Loans shall be, except as otherwise set forth herein or in the Increase Joinder, reasonably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event the Incremental Term Loans must comply with clauses (iii), (iv), (vi), (vii) and (viii)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and provisions of Revolving Loans made pursuant to Incremental Revolving Commitments shall be consistent with the Revolving Loans;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weighted average life to maturity of any Incremental Term Loans shall be no shorter than the remaining weighted average life to maturity of any then existing Term Loans;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maturity date of Incremental Term Loans (the “</w:t>
      </w:r>
      <w:r>
        <w:rPr>
          <w:rFonts w:ascii="Times New Roman;Times;Serif" w:hAnsi="Times New Roman;Times;Serif"/>
          <w:b w:val="false"/>
          <w:i w:val="false"/>
          <w:caps w:val="false"/>
          <w:smallCaps w:val="false"/>
          <w:sz w:val="20"/>
          <w:u w:val="single"/>
        </w:rPr>
        <w:t>Incremental Term Loan Maturity Date</w:t>
      </w:r>
      <w:r>
        <w:rPr>
          <w:rFonts w:ascii="Times New Roman;Times;Serif" w:hAnsi="Times New Roman;Times;Serif"/>
          <w:b w:val="false"/>
          <w:i w:val="false"/>
          <w:caps w:val="false"/>
          <w:smallCaps w:val="false"/>
          <w:sz w:val="20"/>
        </w:rPr>
        <w:t>”), once funded, shall not be earlier than the then Latest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at the election of the Borrower, each Incremental Term Loan may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with the Revolving Facility and/or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with respect to security with the Facilities, in each case, subject to any customary intercreditor arrangements reasonably satisfactory to the Administrative Agent and the Borrower, or may be unsecured;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secured, any such Incremental Commitments shall not be secured by any Lien on any asset that does not also secure the Facilities;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Incremental Commitments may not be guaranteed by any person other than a Loan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Commitments shall be effected by a joinder agreement (the “</w:t>
      </w:r>
      <w:r>
        <w:rPr>
          <w:rFonts w:ascii="Times New Roman;Times;Serif" w:hAnsi="Times New Roman;Times;Serif"/>
          <w:b w:val="false"/>
          <w:i w:val="false"/>
          <w:caps w:val="false"/>
          <w:smallCaps w:val="false"/>
          <w:sz w:val="20"/>
          <w:u w:val="single"/>
        </w:rPr>
        <w:t>Increase Joinder</w:t>
      </w:r>
      <w:r>
        <w:rPr>
          <w:rFonts w:ascii="Times New Roman;Times;Serif" w:hAnsi="Times New Roman;Times;Serif"/>
          <w:b w:val="false"/>
          <w:i w:val="false"/>
          <w:caps w:val="false"/>
          <w:smallCaps w:val="false"/>
          <w:sz w:val="20"/>
        </w:rPr>
        <w:t xml:space="preserve">”) executed by the Borrower, the Administrative Agent and each Lender making such Incremental Commitment, in form and substance reasonably satisfactory to each of them. Notwithstanding the provisions of Section 10.02,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In addition, unless otherwise specifically provided herein, all references in Loan Documents to Revolving Loans or Incremental Term Loans shall be deemed, unless the context otherwise requires, to include references to Revolving Loans made pursuant to Incremental Revolving Commitments and Incremental Term Loans that are Term Loans, respectively, made pursuant to this Agreement.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Adjustment of Revolving Loans</w:t>
      </w:r>
      <w:r>
        <w:rPr>
          <w:rFonts w:ascii="Times New Roman;Times;Serif" w:hAnsi="Times New Roman;Times;Serif"/>
          <w:b w:val="false"/>
          <w:i w:val="false"/>
          <w:caps w:val="false"/>
          <w:smallCaps w:val="false"/>
          <w:sz w:val="20"/>
        </w:rPr>
        <w:t xml:space="preserve">. To the extent the Commitments being increased on the relevant Increase Effective Date are Incremental Revolving Commitments, then each Revolving Lender that is acquiring an Incremental Revolving Commitment on the Increase Effective Date shall make a Revolving Loan, the proceeds of which will be used to prepay the Revolving Loans of the other Revolving Lenders immediately prior to such Increase Effective Date, so that, after giving effect thereto, the Revolving Loans outstanding are held by the Revolving Lenders pro rata based on their Revolving Commitments after giving effect to such Increase Effective Date. If there is a new borrowing of Revolving Loans on such Increase Effective Date, the Revolving Lenders after giving effect to such Increase Effective Date shall make such Revolving Loans in accordance with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Making of Incremental Term Loans</w:t>
      </w:r>
      <w:r>
        <w:rPr>
          <w:rFonts w:ascii="Times New Roman;Times;Serif" w:hAnsi="Times New Roman;Times;Serif"/>
          <w:b w:val="false"/>
          <w:i w:val="false"/>
          <w:caps w:val="false"/>
          <w:smallCaps w:val="false"/>
          <w:sz w:val="20"/>
        </w:rPr>
        <w:t>. On any Increase Effective Date on which Incremental Term Commitments are effective, subject to the satisfaction of the foregoing terms and conditions, each Lender of such Incremental Term Commitment shall make a Term Loan to the Borrower in an amount equal to its Incremental Term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Equal and Ratable Benefit.</w:t>
      </w:r>
      <w:r>
        <w:rPr>
          <w:rFonts w:ascii="Times New Roman;Times;Serif" w:hAnsi="Times New Roman;Times;Serif"/>
          <w:b w:val="false"/>
          <w:i w:val="false"/>
          <w:caps w:val="false"/>
          <w:smallCaps w:val="false"/>
          <w:sz w:val="20"/>
        </w:rPr>
        <w:t xml:space="preserve"> The Loans and Commitments established pursuant to Section 2.08 shall constitute Loans and Commitments under, and shall be entitled to all the benefits afforded by, this Agreement and the other Loan Documents, and shall, without limiting the foregoing, benefit equally and ratably from the Guarantees and, to the extent secured, security interests created by the Security Documents, except that the Incremental Loans may be subordinated in right of payment or the Liens, if any, securing the Incremental Loans may be subordinated, in each case, to the extent set forth in the Increase Joinder. The Loan Parties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Term Loans or any such Incremental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2.09 </w:t>
      </w:r>
      <w:r>
        <w:rPr>
          <w:rFonts w:ascii="Times New Roman;Times;Serif" w:hAnsi="Times New Roman;Times;Serif"/>
          <w:b w:val="false"/>
          <w:i w:val="false"/>
          <w:caps w:val="false"/>
          <w:smallCaps w:val="false"/>
          <w:sz w:val="20"/>
          <w:u w:val="single"/>
        </w:rPr>
        <w:t>Termination and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Scheduled Termination</w:t>
      </w:r>
      <w:r>
        <w:rPr>
          <w:rFonts w:ascii="Times New Roman;Times;Serif" w:hAnsi="Times New Roman;Times;Serif"/>
          <w:b w:val="false"/>
          <w:i w:val="false"/>
          <w:caps w:val="false"/>
          <w:smallCaps w:val="false"/>
          <w:sz w:val="20"/>
        </w:rPr>
        <w:t xml:space="preserve">. Unless previously terminated, the Revolving Commitments of the Revolving Lenders shall terminate on the Revolving Commitment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previously terminated, any Extended Revolving Commitments of the Lenders shall terminate on the termination date of such Extended Revolving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Termination or Reduction</w:t>
      </w:r>
      <w:r>
        <w:rPr>
          <w:rFonts w:ascii="Times New Roman;Times;Serif" w:hAnsi="Times New Roman;Times;Serif"/>
          <w:b w:val="false"/>
          <w:i w:val="false"/>
          <w:caps w:val="false"/>
          <w:smallCaps w:val="false"/>
          <w:sz w:val="20"/>
        </w:rPr>
        <w:t xml:space="preserve">. The Borrower may at any time terminate, or from time to time reduce, any tranche of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such reduction pursuant to this Section shall</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 in an amount that is $500,000 or a larger multiple of $100,000 and (ii) the Borrower shall not terminate or reduce any tranche of Revolving Commitments if, after giving effect to any concurrent prepayment of the Loans in accordance with Section 2.11, (x) the Aggregate Revolving Credit Exposure would exceed the Aggregate Revolving Commitment, (y) the Revolving Credit Exposure of any Lender would exceed the Revolving Commitment of such Lender or (z) with respect to any tranche of Revolving Commitments, the sum of the aggregate outstanding principal amount of the outstanding Revolving Loans of Lenders in respect of such tranche of Revolving Commitments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aggregate amount of LC Obligations in respect of such tranche of Revolving Commitments would exceed the aggregate amount of the Revolving Commitments of such tranche. The Borrower shall notify the Administrative Agent of any election to terminate or reduce any tranche of Revolving Commitments under this paragraph (b)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such termination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any tranche of Revolving Commitments shall be permanent. Each reduction of any tranche of Revolving Commitments shall be made ratably among the Lenders of such tranche in accordance with their respective Revolving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The Borrower hereby unconditionally promises to pay to the Administrative Agent for account of the Revolving Lenders (i) the outstanding principal amount of the Revolving Loans (other than any Extended Revolving Loans) on the Revolving Commitment Termination Date and (ii) the outstanding principal amount of any Extended Revolving Loans on the termination date of such Extended Revolving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Manner of Payment</w:t>
      </w:r>
      <w:r>
        <w:rPr>
          <w:rFonts w:ascii="Times New Roman;Times;Serif" w:hAnsi="Times New Roman;Times;Serif"/>
          <w:b w:val="false"/>
          <w:i w:val="false"/>
          <w:caps w:val="false"/>
          <w:smallCaps w:val="false"/>
          <w:sz w:val="20"/>
        </w:rPr>
        <w:t>. Prior to any repayment or prepayment of any Borrowings hereunder, the Borrower shall select the Borrowing or Borrowings to be paid and shall notify the Administrative Agent by telephone (confirmed by telecopy) of such selection (i) in the case of Term SOFR Loans or Alternative Currency Loans, not later than 12:00 noon, New York City time, three Business Days before the scheduled date of such repayment and (ii) in the case of ABR Loans, not later than 12:00 noon, New York City time, on the scheduled date of such repayment. If the Borrower fails to make a timely selection of the Borrowing or Borrowings to be repaid or prepaid, such payment shall be applied, first, to pay any outstanding ABR Borrowings and, second, to other Borrowings in the order of the remaining duration of their respective Interest Periods (the Borrowing with the shortest remaining Interest Period to be repaid first). Each payment of a Borrowing shall be applied ratably to the Loans included in such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Maintenance of Records by Lenders</w:t>
      </w:r>
      <w:r>
        <w:rPr>
          <w:rFonts w:ascii="Times New Roman;Times;Serif" w:hAnsi="Times New Roman;Times;Serif"/>
          <w:b w:val="false"/>
          <w:i w:val="false"/>
          <w:caps w:val="false"/>
          <w:smallCaps w:val="false"/>
          <w:sz w:val="20"/>
        </w:rPr>
        <w:t>. Each Lender shall maintain in accordance with its usual practice an account or accounts evidencing the indebtedness of the Borrower to such Lender resulting from each Loan made by such Lender, including the amounts and Currency of principal and interest payable and paid to such Lender from time to time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Maintenance of Records by the Administrative Agent</w:t>
      </w:r>
      <w:r>
        <w:rPr>
          <w:rFonts w:ascii="Times New Roman;Times;Serif" w:hAnsi="Times New Roman;Times;Serif"/>
          <w:b w:val="false"/>
          <w:i w:val="false"/>
          <w:caps w:val="false"/>
          <w:smallCaps w:val="false"/>
          <w:sz w:val="20"/>
        </w:rPr>
        <w:t>. The Administrative Agent shall maintain accounts in which it shall record (i) the amount and Currency of each Loan made hereunder, the Type thereof and each Interest Period therefor, (ii) the amount and Currency of any principal or interest due and payable or to become due and payable from the Borrower to each Lender hereunder and (iii) the amount and Currency of any sum received by the Administrative Agent hereunder for account of the Lenders and each Lender’s share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Effect of Entries</w:t>
      </w:r>
      <w:r>
        <w:rPr>
          <w:rFonts w:ascii="Times New Roman;Times;Serif" w:hAnsi="Times New Roman;Times;Serif"/>
          <w:b w:val="false"/>
          <w:i w:val="false"/>
          <w:caps w:val="false"/>
          <w:smallCaps w:val="false"/>
          <w:sz w:val="20"/>
        </w:rPr>
        <w:t xml:space="preserve">. The entries made in the accounts maintained pursuant to paragraph (d) or (e) of this Section shall be </w:t>
      </w:r>
      <w:r>
        <w:rPr>
          <w:rFonts w:ascii="Times New Roman;Times;Serif" w:hAnsi="Times New Roman;Times;Serif"/>
          <w:b w:val="false"/>
          <w:i w:val="false"/>
          <w:caps w:val="false"/>
          <w:smallCaps w:val="false"/>
          <w:sz w:val="20"/>
          <w:u w:val="single"/>
        </w:rPr>
        <w:t>prima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Promissory Notes</w:t>
      </w:r>
      <w:r>
        <w:rPr>
          <w:rFonts w:ascii="Times New Roman;Times;Serif" w:hAnsi="Times New Roman;Times;Serif"/>
          <w:b w:val="false"/>
          <w:i w:val="false"/>
          <w:caps w:val="false"/>
          <w:smallCaps w:val="false"/>
          <w:sz w:val="20"/>
        </w:rPr>
        <w:t>. Any Lender may request that Loans made by it to the Borrower be evidenced by a promissory note of the Borrower. In such event, the Borrower shall prepare, execute and deliver to such Lender a</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payable to such Lender (or, if requested by such Lender, to such Lender and its registered assigns) in a principal amount equal to such Lender’s Commitment and in a form approved by the Administrative Agent. Thereafter, the Loans evidenced by such promissory note and interest thereon shall at all times (including after assignment pursuant to Section 10.04) be represented by one or more promissory notes in such form payable to the payee named therein (or, if such promissory note is a registered note, to such payee and its registered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Section 2.11(e) below, the Borrower shall have the right at any time and from time to time to prepay any Borrowing in whole or in part, without premium or penalty, subject to the requirements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Term SOFR Loan or an Alternative Currency Loan is prepaid on any day other than the last day of the Interest Period applicable thereto, the Borrower shall also pay any amounts owing pursuant to Section 2.16. Partial prepayments of Loans shall be in an aggregate principal amount of $500,000 or a whole multiple thereof. Each optional prepayment of Term Loans made pursuant to this Section 2.11(a) shall be applied to the remaining amortization installments of principal due in respect to Class or Classes of Loans (including any Term Loan Facility or Refinancing Facility), as directed by the Borrower in its sole discretion (and absent such direction, pro rata among Classes in direct order of maturity thereof until each such installment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Prepayments Due to Currency Fluctuations</w:t>
      </w:r>
      <w:r>
        <w:rPr>
          <w:rFonts w:ascii="Times New Roman;Times;Serif" w:hAnsi="Times New Roman;Times;Serif"/>
          <w:b w:val="false"/>
          <w:i w:val="false"/>
          <w:caps w:val="false"/>
          <w:smallCaps w:val="false"/>
          <w:sz w:val="20"/>
        </w:rPr>
        <w:t xml:space="preserve">. On each Quarterly Date and promptly upon the receipt by the Administrative Agent of a Currency Valuation Notice (as defined below), the Administrative Agent shall determine the Dollar Equivalent of the Aggregate Revolving Credit Exposure to the extent there shall be any Revolving Loans or Letters of Credit denominated in any Foreign Currency at such time. For the purpose of this determination, (1) the outstanding principal amount of any Revolving Loan that is denominated in any Foreign Currency shall be deemed to be the Dollar Equivalent of the amount in the Foreign Currency of such Revolving Loan and (2) the LC Obligations with respect to any Letter of Credit that is denominated in any Foreign Currency shall be deemed to be the Dollar Equivalent of the amount of such LC Obligations in the Foreign Currency of such Letter of Credit, determined in each case as of such Quarterly Date or, in the case of a Currency Valuation Notice received by the Administrative Agent prior to 11:00 a.m., London time, on a Business Day, on such Business Day or, in the case of a Currency Valuation Notice otherwise received, on the first Business Day after such Currency Valuation Notice is received. Upon making such determination, the Administrative Agent shall promptly notify the Lenders and the Borrower thereof. If, on the date of such determination, the aggregate outstanding principal amount of the Revolving Loans denominated in Foreign Currencies exceeds 105% of the Aggregate Foreign Currency Sublimit Dollar Amount, the Aggregate LC Exposure exceeds 105% of the Aggregate Letter of Credit Sublimit Amount or the Aggregate Revolving Credit Exposure exceeds the Aggregate Revolving Commitment, the Borrower shall, if requested by the Required Lenders (through the Administrative Agent), (i) prepay, without premium, penalty or any reduction in the Commitments, the Revolving Loans in such amounts as shall be necessary so that after giving effect thereto the aggregate outstanding principal amount of the Revolving Loans does not exceed the Aggregate Foreign Currency Sublimit Dollar Amount, (ii) Cash Collateralize Letters of Credit in accordance with Section 2.04(k) in an amount as shall be necessary so that after giving effect thereto the Aggregate LC Exposure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amount of such cash collateral does not exceed the Aggregate Letter of Credit Sublimit Amount or (iii) prepay, without premium, penalty or any reduction in the Commitments, the Revolving Loans and/or Cash Collateralize Letters of Credit in accordance with Section 2.04(k) in an amount equal to the LC Obligations desired to be Cash Collateralized such that the Aggregate Revolving Credit Exposure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Aggregate LC Exposure so Cash Collateralized does not exceed the Aggregate Revolving Commitment,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Revolving Loan is prepaid on any day other than the last day of the Interest Period applicable thereto, the Borrower shall also pay any amounts owing pursuant to Section 2.16. For purposes hereof, “</w:t>
      </w:r>
      <w:r>
        <w:rPr>
          <w:rFonts w:ascii="Times New Roman;Times;Serif" w:hAnsi="Times New Roman;Times;Serif"/>
          <w:b w:val="false"/>
          <w:i w:val="false"/>
          <w:caps w:val="false"/>
          <w:smallCaps w:val="false"/>
          <w:sz w:val="20"/>
          <w:u w:val="single"/>
        </w:rPr>
        <w:t>Currency Valuation Notice</w:t>
      </w:r>
      <w:r>
        <w:rPr>
          <w:rFonts w:ascii="Times New Roman;Times;Serif" w:hAnsi="Times New Roman;Times;Serif"/>
          <w:b w:val="false"/>
          <w:i w:val="false"/>
          <w:caps w:val="false"/>
          <w:smallCaps w:val="false"/>
          <w:sz w:val="20"/>
        </w:rPr>
        <w:t>” means a notice given by the Required Revolving Lenders to the Administrative Agent stating that such notice is a “Currency Valuation Notice” and requesting that the Administrative Agent determine the Dollar Equivalent of the Aggregate Revolving Credit Exposure.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not be required to make more than one valuation determination pursuant to Currency Valuation Notices within any rolling three 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Notices, Etc</w:t>
      </w:r>
      <w:r>
        <w:rPr>
          <w:rFonts w:ascii="Times New Roman;Times;Serif" w:hAnsi="Times New Roman;Times;Serif"/>
          <w:b w:val="false"/>
          <w:i w:val="false"/>
          <w:caps w:val="false"/>
          <w:smallCaps w:val="false"/>
          <w:sz w:val="20"/>
        </w:rPr>
        <w:t xml:space="preserve">. The Borrower shall notify the Administrative Agent by telephone (confirmed by telecopy) of any prepayment hereunder (i) in the case of prepayment of a Term SOFR Borrowing or Alternative Currency Borrowing, not later than 12:00 noon, New York City time (or, in the case of a Borrowing denominated in a Foreign Currency, 11:00 a.m., London time), three Business Days before the date of prepayment or (ii) in the case of prepayment of an ABR Borrowing, not later than 12:00 noon, New York City time, on the date of prepayment. Each such notice of prepayment pursuant to Section 2.11(b) or (c) shall be irrevocable and each such notice of prepayment pursuant to Section 2.11(a) may state that such notice is conditioned on the effectiveness of other financing arrangements or one or more other transactions, in which case such notice shall be so conditioned and may be revoked by the Borrower (by notice to the Administrative Agent on or prior to the specified effective date) if such event does not occur or such transaction is not consummated. Each such notice shall specify the prepayment date, the principal amount of each Borrowing or portion thereof to be prepaid and, in the case of a mandatory prepayment, a reasonably detailed calculation of the amount of such prepayment. Promptly following receipt of any such notice relating to a Borrowing, the Administrative Agent shall advise the Lenders of the contents thereof. Each prepayment of a Borrowing shall be applied ratably to the Loans included in the prepaid Borrowing. Prepayments shall be accompanied by accrued interest to the extent required by Section 2.13, together with any additional amounts required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and shall be made in the manner specified in Section 2.10(c).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The Borrower agrees to pay to the Administrative Agent for account of each Revolving Lender a commitment fee, which shall accrue at the Applicable Rate on the actual daily amount of the Available Revolving Commitment of such Revolving Lender during the period from and including the Sixth Restatement Effective Date to but excluding the earlier of the date such Revolving Commitment terminates and the Revolving Commitment Termination Date (or, with respect to any Extended Revolving Commitments, the termination date in respect thereof). Accrued commitment fees shall be payable on each Quarterly Date (and, with respect to accrued and unpaid commitment fees up to but excluding the Sixth Restatement Effective Date, the Sixth Restatement Effective Date) and on the earlier of the date the Revolving Commitments terminate and the Final Commitment Termination Date, commencing on the first such date to occur after the Sixth Restatement Effective Date. All commitment fees shall be computed on the basis of a year of 360 days and shall be payable for the actual number of days elapsed (including the first day but excluding the last day). For purposes of computing commitment fees, the Revolving Commitment of a Revolving Lender shall be deemed to be used to the extent of the outstanding Revolving Loans and LC Exposure of such Revolving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The Borrower agrees to pay (i) to the Administrative Agent for account of each Revolving Lender a participation fee with respect to its participations in Letters of Credit, which shall accrue at a rate per annum equal to the Applicable Rate applicable to interest on Term SOFR Loans on the actual daily amount of such Revolving Lender’s LC Exposure (excluding any portion thereof attributable to unreimbursed LC Disbursements) during the period from and including the Sixth Restatement Effective Date to but excluding the later of the date on which such Revolving Lender’s Revolving Commitment terminates and the date on which such Revolving Lender ceases to have any LC Exposure, and (ii) to the Issuing Lenders a fronting fee, which shall accrue at the rate of 0.125% per annum on the actual daily amount of the Aggregate LC Exposure (excluding any portion thereof attributable to unreimbursed LC Disbursements) during the period from and including the Sixth Restatement Effective Date to but excluding the later of the date of termination of the Revolving Commitments and the date on which there ceases to be any LC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fronting fee shall in no event be less than $250 per annum for each Letter of Credit), as well as each Issuing Lender’s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Sixth Restatement Effective Date, and, with respect to accrued and unpaid fronting fees and participation fees up to but excluding the Sixth Restatement Effective Date, the Sixth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in respect of any Revolving</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on the date on which such Revolving Commitments terminate and any such fees accruing in respect of such Revolving Commitments after the date on which such Revolving Commitments terminate shall be payable on demand. Any other fees payable to any Issuing Lender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Administrative Agent Fees</w:t>
      </w:r>
      <w:r>
        <w:rPr>
          <w:rFonts w:ascii="Times New Roman;Times;Serif" w:hAnsi="Times New Roman;Times;Serif"/>
          <w:b w:val="false"/>
          <w:i w:val="false"/>
          <w:caps w:val="false"/>
          <w:smallCaps w:val="false"/>
          <w:sz w:val="20"/>
        </w:rPr>
        <w:t>. The Borrower agrees to pay to the Administrative Agent, for its own account, fees payable in the amounts and at the times separately agreed upon between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All fees payable hereunder shall be paid on the dates due, in Dollars and immediately available funds, to the Administrative Agent (or to any Issuing Lender, in the case of fees payable to it) for distribution, in the case of facility fees and participation fees, to the Lenders entitled thereto. Fees paid shall not be refundable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The Loans comprising each ABR Borrowing shall bear interest at a rate per annum equal to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SOFR Loans</w:t>
      </w:r>
      <w:r>
        <w:rPr>
          <w:rFonts w:ascii="Times New Roman;Times;Serif" w:hAnsi="Times New Roman;Times;Serif"/>
          <w:b w:val="false"/>
          <w:i w:val="false"/>
          <w:caps w:val="false"/>
          <w:smallCaps w:val="false"/>
          <w:sz w:val="20"/>
        </w:rPr>
        <w:t xml:space="preserve">. The Loans comprising each Term SOFR Borrowing shall bear interest at a rate per annum equal to the Term SOFR for the Interest Period for such Borrowing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Alternative Currency Daily Rate Loans</w:t>
      </w:r>
      <w:r>
        <w:rPr>
          <w:rFonts w:ascii="Times New Roman;Times;Serif" w:hAnsi="Times New Roman;Times;Serif"/>
          <w:b w:val="false"/>
          <w:i w:val="false"/>
          <w:caps w:val="false"/>
          <w:smallCaps w:val="false"/>
          <w:sz w:val="20"/>
        </w:rPr>
        <w:t xml:space="preserve">. The Loans comprising each Alternative Currency Daily Rate Borrowing shall bear interest at a rate per annum equal to the Alternative Currency Daily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Alternative Currency Term Rate Loans</w:t>
      </w:r>
      <w:r>
        <w:rPr>
          <w:rFonts w:ascii="Times New Roman;Times;Serif" w:hAnsi="Times New Roman;Times;Serif"/>
          <w:b w:val="false"/>
          <w:i w:val="false"/>
          <w:caps w:val="false"/>
          <w:smallCaps w:val="false"/>
          <w:sz w:val="20"/>
        </w:rPr>
        <w:t xml:space="preserve">. The Loans comprising each Alternative Currency Term Rate Borrowing shall bear interest at a rate per annum equal to the Alternative Currency Term Rate for the Interest Period for such Borrowing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Notwithstanding the foregoing, if any principal of or interest on any Loan or any fee or other amount payable by the Borrower hereunder is not paid when due, whether at stated maturity, upon acceleration, by mandatory prepayment or otherwise, such overdue amount, at the election of the Required Lenders, shall bear interest, after as well as before judgment, at a rate per annum equal to (i) in the case of overdue principal of any Loan, 2% plus the rate otherwise applicable to such Loan as provided above or (ii) in the case of any other overdue amount, 2% plus the rate applicable to ABR Loans as provided in paragraph (a)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Interest</w:t>
      </w:r>
      <w:r>
        <w:rPr>
          <w:rFonts w:ascii="Times New Roman;Times;Serif" w:hAnsi="Times New Roman;Times;Serif"/>
          <w:b w:val="false"/>
          <w:i w:val="false"/>
          <w:caps w:val="false"/>
          <w:smallCaps w:val="false"/>
          <w:sz w:val="20"/>
        </w:rPr>
        <w:t xml:space="preserve">. Accrued interest on each Loan shall be payable in arrears on each Interest Payment Date for such Loan and at such other times as may be specified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paragraph (e) of this Section shall be payable on demand, (ii) in the event of any repayment or prepayment of any Loan (other than a prepayment of an ABR Loan prior to the applicable Maturity Date), accrued interest on the principal amount repaid or prepaid shall be payable on the date of such repayment or prepayment and (iii) in the event of any conversion of any Term SOFR Borrowing or Alternative Currency Borrowing prior to the end of the Interest Period therefor, accrued interest on such Borrowing shall be payable on the effective date of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Computation</w:t>
      </w:r>
      <w:r>
        <w:rPr>
          <w:rFonts w:ascii="Times New Roman;Times;Serif" w:hAnsi="Times New Roman;Times;Serif"/>
          <w:b w:val="false"/>
          <w:i w:val="false"/>
          <w:caps w:val="false"/>
          <w:smallCaps w:val="false"/>
          <w:sz w:val="20"/>
        </w:rPr>
        <w:t>. All interest hereunder shall be computed on the basis of a year of 360 days, except that interest computed by reference to the Alternate Base Rate (including when the Alternate Base Rate is determined by reference to the Term SOFR) or with respect to any Loans denominated in English Pounds Sterling shall be computed on the basis of a year of 365 days (or 366 days in a leap year), and in each case shall be payable for the actual number of days elapsed (including the first day but excluding the last day). The applicable Alternate Base Rate, Alternative Currency Daily Rate, Alternative Currency Term Rate or Term SOFR shall be determined by the Administrative Agent, and such determination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2.14 </w:t>
      </w:r>
      <w:r>
        <w:rPr>
          <w:rFonts w:ascii="Times New Roman;Times;Serif" w:hAnsi="Times New Roman;Times;Serif"/>
          <w:b w:val="false"/>
          <w:i w:val="false"/>
          <w:caps w:val="false"/>
          <w:smallCaps w:val="false"/>
          <w:sz w:val="20"/>
          <w:u w:val="single"/>
        </w:rPr>
        <w:t>Inability to Determine Interest Rate</w:t>
      </w:r>
      <w:r>
        <w:rPr>
          <w:rFonts w:ascii="Times New Roman;Times;Serif" w:hAnsi="Times New Roman;Times;Serif"/>
          <w:b w:val="false"/>
          <w:i w:val="false"/>
          <w:caps w:val="false"/>
          <w:smallCaps w:val="false"/>
          <w:sz w:val="20"/>
        </w:rPr>
        <w: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in connection with any request for a Term SOFR Loan or an Alternative Currency Loan or a conversion to or continuation thereof, as applicable, (i) the Administrative Agent determines (which determination shall be conclusive absent manifest error) that (A) no Successor Rate for the Relevant Rate for the applicable Currency has been determined in accordance with Section 2.14(b) or (c) and the circumstances under clause (i) of Section 2.14(b) or (c) or the Scheduled Unavailability Date or the Term SOFR Scheduled Unavailability Date has occurred with respect to such Relevant Rate (as applicable), or (B) adequate and reasonable means do not exist for determining the Relevant Rate for the applicable Currency for any determination date or for any requested Interest Period with respect to a proposed Term SOFR Loan or Alternative Currency Term Rate Loan or in connection with an existing or proposed ABR Loan, or (ii) the Administrative Agent or the Required Lenders determine that for any reason the Relevant Rate for any requested Interest Period with respect to a proposed Term SOFR Loan or Alternative Currency Loan does not adequately and fairly reflect the cost to such Lenders of funding such Loan, the Administrative Agent will promptly so notify the Borrower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(x) the obligation of the Lenders to make or maintain Loans in the affected Currencies, as applicable, or to convert ABR Loans to Term SOFR Loans, shall be suspended (to the extent of the affected Term SOFR Loans, Alternative Currency Loans or Interest Periods or determination date(s), as applicable), and (y)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(or, in the case of a determination by the Required Lenders described in clause (ii) of Section 2.14(a), until the Administrative Agent upon instruction of the Required Lenders) revokes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such notice, (i) the Borrower may revoke any pending request for a Borrowing of, conversion to or continuation of Term SOFR Loans or Alternative Currency Loans (to the extent of the affected Term SOFR Loans, Alternative Currency Loans or Interest Periods or determination date(s), as applicable) or (ii) failing that, (A) will be deemed to have converted such request into a request for a Borrowing of ABR Loans in the amount specified therein and (B) any outstanding affected Alternative Currency Loans, at the Borrower’s election, shall either (1) be converted into a Borrowing of ABR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provided that if no election is made by the Borrower (x) in the case of an Alternative Currency Daily Rate Loan, by the date that is three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Replacement of SOFR or SOFR Successor Rate</w:t>
      </w:r>
      <w:r>
        <w:rPr>
          <w:rFonts w:ascii="Times New Roman;Times;Serif" w:hAnsi="Times New Roman;Times;Serif"/>
          <w:b w:val="false"/>
          <w:i w:val="false"/>
          <w:caps w:val="false"/>
          <w:smallCaps w:val="false"/>
          <w:sz w:val="20"/>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provided that, at the time of such statement, there is no successor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Times;Serif" w:hAnsi="Times New Roman;Times;Serif"/>
          <w:b w:val="false"/>
          <w:i w:val="false"/>
          <w:caps w:val="false"/>
          <w:smallCaps w:val="false"/>
          <w:sz w:val="20"/>
          <w:u w:val="single"/>
        </w:rPr>
        <w:t>SOFR Scheduled Unavailability Date</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on a date and time determined by the Administrative Agent (any such date, the “</w:t>
      </w:r>
      <w:r>
        <w:rPr>
          <w:rFonts w:ascii="Times New Roman;Times;Serif" w:hAnsi="Times New Roman;Times;Serif"/>
          <w:b w:val="false"/>
          <w:i w:val="false"/>
          <w:caps w:val="false"/>
          <w:smallCaps w:val="false"/>
          <w:sz w:val="20"/>
          <w:u w:val="single"/>
        </w:rPr>
        <w:t>SOFR Replacement Date</w:t>
      </w:r>
      <w:r>
        <w:rPr>
          <w:rFonts w:ascii="Times New Roman;Times;Serif" w:hAnsi="Times New Roman;Times;Serif"/>
          <w:b w:val="false"/>
          <w:i w:val="false"/>
          <w:caps w:val="false"/>
          <w:smallCaps w:val="false"/>
          <w:sz w:val="20"/>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Times;Serif" w:hAnsi="Times New Roman;Times;Serif"/>
          <w:b w:val="false"/>
          <w:i w:val="false"/>
          <w:caps w:val="false"/>
          <w:smallCaps w:val="false"/>
          <w:sz w:val="20"/>
          <w:u w:val="single"/>
        </w:rPr>
        <w:t>SOFR Successor 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SOFR Successor Rate is Daily Simple SOFR, all interest payments will be payable on a monthly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(i) if the Administrative Agent determines that Daily Simple SOFR is not available on or prior to the SOFR Replacement Date, or (ii) if the events or circumstances of the type described in </w:t>
      </w:r>
      <w:r>
        <w:rPr>
          <w:rFonts w:ascii="Times New Roman;Times;Serif" w:hAnsi="Times New Roman;Times;Serif"/>
          <w:b w:val="false"/>
          <w:i w:val="false"/>
          <w:caps w:val="false"/>
          <w:smallCaps w:val="false"/>
          <w:sz w:val="20"/>
          <w:u w:val="single"/>
        </w:rPr>
        <w:t>Section 2.14(b)(i)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have occurred with respect to the SOFR Successor Rate then in effect, then in each case, the Administrative Agent and the Borrower may amend this Agreement solely for the purpose of replacing Term SOFR or any then current SOFR Successor Rate in accordance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Times;Serif" w:hAnsi="Times New Roman;Times;Serif"/>
          <w:b w:val="false"/>
          <w:i w:val="false"/>
          <w:caps w:val="false"/>
          <w:smallCaps w:val="false"/>
          <w:sz w:val="20"/>
          <w:u w:val="single"/>
        </w:rPr>
        <w:t>SOFR Successor Rate</w:t>
      </w:r>
      <w:r>
        <w:rPr>
          <w:rFonts w:ascii="Times New Roman;Times;Serif" w:hAnsi="Times New Roman;Times;Serif"/>
          <w:b w:val="false"/>
          <w:i w:val="false"/>
          <w:caps w:val="false"/>
          <w:smallCaps w:val="false"/>
          <w:sz w:val="20"/>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Replacement of Relevant Rate or Non-SOFR Successor Rate</w:t>
      </w:r>
      <w:r>
        <w:rPr>
          <w:rFonts w:ascii="Times New Roman;Times;Serif" w:hAnsi="Times New Roman;Times;Serif"/>
          <w:b w:val="false"/>
          <w:i w:val="false"/>
          <w:caps w:val="false"/>
          <w:smallCaps w:val="false"/>
          <w:sz w:val="20"/>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adequate and reasonable means do not exist for ascertaining the Relevant Rate (other than SOFR) for an Agreed Foreign Currency because none of the tenors of such Relevant Rate (other than SOFR) under this Agreement is available or published on a current basis, and such circumstances are unlikely to be temporary;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Applicable Authority has made a public statement identifying a specific date after which all tenors of the Relevant Rate (other than SOFR) for an Agreed Foreign Currency under this Agreement shall or will no longer be representative or made available, or permitted to be used for determining the interest rate of syndicated loans denominated in such Agreed Foreign Currency,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Foreign Currency (the latest date on which all tenors of the Relevant Rate for such Agreed Foreign Currency under this Agreement are no longer representative or available permanently or indefinitely, the “</w:t>
      </w:r>
      <w:r>
        <w:rPr>
          <w:rFonts w:ascii="Times New Roman;Times;Serif" w:hAnsi="Times New Roman;Times;Serif"/>
          <w:b w:val="false"/>
          <w:i w:val="false"/>
          <w:caps w:val="false"/>
          <w:smallCaps w:val="false"/>
          <w:sz w:val="20"/>
          <w:u w:val="single"/>
        </w:rPr>
        <w:t>Scheduled Unavailability Date</w:t>
      </w:r>
      <w:r>
        <w:rPr>
          <w:rFonts w:ascii="Times New Roman;Times;Serif" w:hAnsi="Times New Roman;Times;Serif"/>
          <w:b w:val="false"/>
          <w:i w:val="false"/>
          <w:caps w:val="false"/>
          <w:smallCaps w:val="false"/>
          <w:sz w:val="20"/>
        </w:rPr>
        <w: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if the events or circumstances of the type described in </w:t>
      </w:r>
      <w:r>
        <w:rPr>
          <w:rFonts w:ascii="Times New Roman;Times;Serif" w:hAnsi="Times New Roman;Times;Serif"/>
          <w:b w:val="false"/>
          <w:i w:val="false"/>
          <w:caps w:val="false"/>
          <w:smallCaps w:val="false"/>
          <w:sz w:val="20"/>
          <w:u w:val="single"/>
        </w:rPr>
        <w:t>Section 2.14(c)(i)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have occurred with respect to the Non-SOFR Successor Rate then in effect, then the Administrative Agent and the Borrower may amend this Agreement solely for the purpose of replacing the Relevant Rate for an Agreed Foreign Currency or any then current Non-SOFR Successor Rate for an Agreed Foreign Currency in accordance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with an alternative benchmark rate giving due consideration to any evolving or then existing convention for similar credit facilities syndicated and agented in the U.S. and denominated in such Agreed Foreign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Foreign Currency for such benchmarks (and any such proposed rate, including for the avoidance of doubt, any adjustment thereto, a “</w:t>
      </w:r>
      <w:r>
        <w:rPr>
          <w:rFonts w:ascii="Times New Roman;Times;Serif" w:hAnsi="Times New Roman;Times;Serif"/>
          <w:b w:val="false"/>
          <w:i w:val="false"/>
          <w:caps w:val="false"/>
          <w:smallCaps w:val="false"/>
          <w:sz w:val="20"/>
          <w:u w:val="single"/>
        </w:rPr>
        <w:t>Non-SOFR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and collectively with the SOFR Successor Rate, the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The Administrative Agent will promptly (in one or more notices) notify the Borrower and each Lender of the implementation of any Successor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if at any time any Successor Rate as so determined would otherwise be less than zero, the Successor Rate with respect to such Loans will be deemed to be zero for the purposes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Lenders reasonably promptly after such amendment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purposes of this Section 2.14, those Lenders that either have not made, or do not have an obligation under this Agreement to make, the relevant Loans in Dollars or the relevant Agreed Foreign Currency, as applicable, shall be excluded from any determination of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2.15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account of, or credit extended by, any Lender or any Issuing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Lender or any Issuing Lender to any Taxes (other than Indemnified Taxes, Excluded Taxes and Other Taxes) on its Loans, Loan principal, any Letter of Credit, Commitments, Obligations, deposits, reserves, liabilities, or any capital attributable thereto;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any Issuing Lender or the London interbank market any other condition, cost or expense (other than Taxes) affecting this Agreement or Term SOFR Loans or Alternative Currency Loans made by such Lender or any Letter of Credit or participation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Lenders of making, maintaining, converting to, or continuing any Term SOFR Loan or Alternative Currency Loan, or any Loan in the case of clause (iii) above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of maintaining its obligation to make any such Loan), or to increase the cost to such Lender or such Issuing Lender of participating in, issuing or maintaining any Letter of Credit or to reduce the amount of any sum received or receivable by such Lender or such Issuing Lender hereunder (whether of principal, interest or otherwise), then the Borrower will pay to such Lender or such Issuing Lender, as the case may be, in Dollars, such additional amount or amounts as will compensate such Lender or such Issuing Lender, as the case may be, for such additional costs incurred or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If any Lender or any Issuing Lender determines that any Change in Law regarding capital requirements or liquidity has or would have the effect of reducing the rate of return on such Lender’s or such Issuing Lender’s capital or on the capital of such Lender’s or such Issuing Lender’s holding company, if any, as a consequence of this Agreement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Borrower will pay to such Lender or such Issuing Lender, as the case may be, in Dollars, such additional amount or amounts as will compensate such Lender or such Issuing Lender or such Lender’s or such Issuing Lender’s holding company for any such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Changes in Law</w:t>
      </w:r>
      <w:r>
        <w:rPr>
          <w:rFonts w:ascii="Times New Roman;Times;Serif" w:hAnsi="Times New Roman;Times;Serif"/>
          <w:b w:val="false"/>
          <w:i w:val="false"/>
          <w:caps w:val="false"/>
          <w:smallCaps w:val="false"/>
          <w:sz w:val="20"/>
        </w:rPr>
        <w: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Certificates from Lenders</w:t>
      </w:r>
      <w:r>
        <w:rPr>
          <w:rFonts w:ascii="Times New Roman;Times;Serif" w:hAnsi="Times New Roman;Times;Serif"/>
          <w:b w:val="false"/>
          <w:i w:val="false"/>
          <w:caps w:val="false"/>
          <w:smallCaps w:val="false"/>
          <w:sz w:val="20"/>
        </w:rPr>
        <w:t>. A certificate of a Lender or an Issuing Lender setting forth the amount or amounts, in Dollars, necessary to compensate such Lender or such Issuing Lender or its holding company, as the case may be, as specified in paragraph (a) or (b) of this Section shall be delivered to the Borrower and shall be conclusive absent manifest error. The Borrower shall pay such Lender or such Issuing Lender, as the case may be, the amount shown as due on any such certificate within 10 days after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Lender or any Issuing Lender to demand compensation pursuant to this Section shall not constitute a waiver of such Lender’s or such Issuing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an Issuing Lender pursuant to this Section for any increased costs or reductions incurred more than 270 days prior to the date that such Lender or such Issuing Lender, as the case may be, notifies the Borrower of the Change in Law giving rise to such increased costs or reductions and of such Lender’s or such Issuing Lender’s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270-day period referred to above shall be extended to include the period of retroactive effect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2.16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In the event of (a) the payment of any principal of any Term SOFR Loan or Alternative Currency Loan other than on the last day of an Interest Period therefor (including as a result of an Event of Default), (b) the conversion of any Term SOFR Loan or Alternative Currency Loan other than on the last day of an Interest Period therefor, (c) the failure to borrow, convert, continue or prepay any Loan on the date specified in any notice delivered pursuant hereto (regardless of whether such notice is permitted to be revocable under Section 2.11(d) and is revoked in accordance herewith), or (d) the assignment as a result of a request by the Borrower pursuant to Section 2.19(b) of any Term SOFR Loan or Alternative Currency Loan other than on the last day of an Interest Period therefor, then, in any such event, the Borrower shall compensate each Lender for the loss, cost and expense attributable to such event. In the case of a Term SOFR Loan or an Alternative Currency Loan, the loss to any Lender attributable to any such event shall be deemed to include an amount determined by such Lender to be equal to the excess, if any, of (i) 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conversion or continuation) if the interest rate payable on such deposit were equal to the Term SOFR or the Alternative Currency Term Rate for such Currency for such Interest Period, over (ii) 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offshore interbank market for such Currency at the commencement of such period.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any Loan Party hereunder or under any other Loan Document shall be made free and clear of and without deduction for any Indemnified Taxes or Other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Indemnified Taxes or Other Taxes are required to be withheld or deducted from any amounts payable to the Administrative Agent or any Lender or any Issuing Lender, as determined in good faith by the applicable withholding agent, then (i) the sum payable by such Loan Party shall be increased as necessary so that after making all required deductions (including deductions applicable to additional sums payable under this Section), the Administrative Agent, Lender or Issuing Lender (as the case may be) receives an amount equal to the sum it would have received had no such deductions been made and (ii) if such Indemnified Taxes or Other Taxes are required to be withheld or deducted by a Loan Party, such Loan Party shall make such deductions and shall pay the full amount deducted to the relevant Governmental Authority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Other Taxes by the Borrowers</w:t>
      </w:r>
      <w:r>
        <w:rPr>
          <w:rFonts w:ascii="Times New Roman;Times;Serif" w:hAnsi="Times New Roman;Times;Serif"/>
          <w:b w:val="false"/>
          <w:i w:val="false"/>
          <w:caps w:val="false"/>
          <w:smallCaps w:val="false"/>
          <w:sz w:val="20"/>
        </w:rPr>
        <w:t>. In addition, the Borrower shall pay any Other Taxes to the relevant Governmental Authority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 shall indemnify the Administrative Agent, each Lender and each Issuing Lender, within 10 days after written demand therefor, for the full amount of any Indemnified Taxes or Other Taxes (including Indemnified Taxes or Other Taxes imposed or asserted on or attributable to amounts payable under this Section) paid by the Administrative Agent, such Lender or such Issuing Lender,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together with a copy of a receipt or other evidence of payments delivered to the Borrower by a Lender or an Issuing Lender, or by the Administrative Agent on its own behalf or on behalf of a Lender or an Issuing Lender,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xml:space="preserve">. 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regard to non-U.S. withholding taxes, in such Lender’s judgment such completion, execution or submission would not subject such Lender to a material unreimbursed cost or materially prejudice the legal or commercial position of such Lender. Notwithstanding any other provision of this paragraph, a Lender shall not be required to deliver any documentation pursuant to this paragraph that such Lender is not legally able to deliver.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any Lender that is not a “United States person” as defined in Section 7701(a)(30) of the Code (a “</w:t>
      </w:r>
      <w:r>
        <w:rPr>
          <w:rFonts w:ascii="Times New Roman;Times;Serif" w:hAnsi="Times New Roman;Times;Serif"/>
          <w:b w:val="false"/>
          <w:i w:val="false"/>
          <w:caps w:val="false"/>
          <w:smallCaps w:val="false"/>
          <w:sz w:val="20"/>
          <w:u w:val="single"/>
        </w:rPr>
        <w:t>Non-U.S. Lender</w:t>
      </w:r>
      <w:r>
        <w:rPr>
          <w:rFonts w:ascii="Times New Roman;Times;Serif" w:hAnsi="Times New Roman;Times;Serif"/>
          <w:b w:val="false"/>
          <w:i w:val="false"/>
          <w:caps w:val="false"/>
          <w:smallCaps w:val="false"/>
          <w:sz w:val="20"/>
        </w:rPr>
        <w:t>”) shall deliver to the Borrower and the Administrative Agent (in such number of copies as shall be requested by the recipient) on or prior to the date on which such Non-U.S. Lender becomes a Lender under this Agreement or under an Assignment and Assumption (and from time to time thereafter upon the request of the Borrower or the Administrative Agent, but only if such Non-U.S. Lender is legally entitled to do so), whichever of the following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duly completed copies of Internal Revenue Service Form W-8BEN or Form W-8BEN-E (or successor form) claiming eligibility for benefits of an income tax treaty to which the United States of America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duly completed copies of Internal Revenue Service Form W-8ECI,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 Non-U.S. Lender claiming the benefits of the exemption for portfolio interest under Section 881(c) of the Code, (x) a certificate substantially in the form of Exhibit D (a “</w:t>
      </w:r>
      <w:r>
        <w:rPr>
          <w:rFonts w:ascii="Times New Roman;Times;Serif" w:hAnsi="Times New Roman;Times;Serif"/>
          <w:b w:val="false"/>
          <w:i w:val="false"/>
          <w:caps w:val="false"/>
          <w:smallCaps w:val="false"/>
          <w:sz w:val="20"/>
          <w:u w:val="single"/>
        </w:rPr>
        <w:t>U.S. Tax Certificate</w:t>
      </w:r>
      <w:r>
        <w:rPr>
          <w:rFonts w:ascii="Times New Roman;Times;Serif" w:hAnsi="Times New Roman;Times;Serif"/>
          <w:b w:val="false"/>
          <w:i w:val="false"/>
          <w:caps w:val="false"/>
          <w:smallCaps w:val="false"/>
          <w:sz w:val="20"/>
        </w:rPr>
        <w:t>”) to the effect that such Non-U.S. Lender is not (A) a “bank” within the meaning of Section 881(c)(3)(A) of the Code, (B) a “10-percent shareholder” of the Borrower within the meaning of Section 871(h)(3)(B) of the Code, (C) a “controlled foreign corporation” related to the Borrower, as described in Section 881(c)(3)(C) of the Code or (D) conducting a trade or business in the United States with which the relevant interest payments are effectively connected and (y) duly completed copies of Internal Revenue Service Form W-8BEN or Form W-8BEN-E (or successor 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Non-U.S. Lender that is not the beneficial owner of payments made under any Loan Document (including a partnership or a participating Lender) (A) an Internal Revenue Service Form W-8IMY on behalf of itself and (B) the relevant forms prescribed in clauses (i), (ii), (iii) and (v) of this paragraph (f)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U.S. Tax Certificate on behalf of such partners,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form prescribed by Applicable Law as a basis for claiming exemption from or a reduction in United States of America Federal withholding tax duly completed together with such supplementary documentation as may be prescribed by Applicable Law to permit the Borrower and the Administrative Agent to determine the withholding or deduction required to be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Lender that is a “United States person” as defined in Section 7701(a)(30) of the Code shall deliver to Borrower and the Administrative Agent duly completed copies of Internal Revenue Service Form W-9 (in such number of copies as shall be requested by the recipient) on or prior to the date on which such Lender becomes a Lender under this Agreement or under an Assignment and Assumption (and from time to time thereafter upon the request of the Borrower or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2.17(f), a Lender shall not be required to deliver any form that such Lender is not legally eligible to deliver.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authorizes the Administrative Agent to deliver to the Loan Parties and to any successor Administrative Agent any documentation provided by such Lender to the Administrative Agent pursuant to this Section 2.17(f).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tab/>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to comply with its obligations under FATCA, to determine that such Lender has or has not complied with such Lender’s obligations under FATCA or to determine the amount to deduct and withhold from such payment. Solely for purposes of this Section 2.17(g), “FATCA” shall include any amendments made to FATCA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Refunds and Cooperation</w:t>
      </w:r>
      <w:r>
        <w:rPr>
          <w:rFonts w:ascii="Times New Roman;Times;Serif" w:hAnsi="Times New Roman;Times;Serif"/>
          <w:b w:val="false"/>
          <w:i w:val="false"/>
          <w:caps w:val="false"/>
          <w:smallCaps w:val="false"/>
          <w:sz w:val="20"/>
        </w:rPr>
        <w:t xml:space="preserve">. If the Administrative Agent or a Lender determines, in its sole discretion, that it has received a refund of any Indemnified Taxes or Other Taxes as to which it has been indemnified by a Loan Party or with respect to which a Loan Party has paid additional amounts pursuant to this Section, it shall pay over such refund to such Loan Party (but only to the extent of indemnity payments made, or additional amounts paid, by such Loan Party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Loan Party, upon the request of the Administrative Agent or such Lender, agrees to repay the amount paid over to such Loan Party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to the Administrative Agent or such Lender in the event the Administrative Agent or such Lender is required to repay such refund to such Governmental Authority. This paragraph (h) shall not be construed to require the Administrative Agent or any Lender to make available its tax returns (or any other information relating to its taxes which it deems confidential) to any Loan Party or any other Person. Upon the Borrower’s reasonable written request, each Lender shall reasonably cooperate with the Borrower in seeking a refund of Indemnified Taxes or Other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cooperation shall not be required if, in such Lender’s sole discretion, it would subject such Lender to any unreimbursed cost or expense or otherwise be disadvantageous to the Lender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For purposes of determining withholding Taxes imposed under FATCA, from and after the Sixth Restatement Effective Date, the Administrative Agent shall treat (and the Lenders hereby authorize the Administrative Agent to treat) the Loans as not qualifying as “grandfathered obligations” within the meaning of Treasury Regulation Section 1.1471-2(b)(2)(i).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party’s obligations under this Section 2.17 shall survive the resignation or replacement of the Administrative Agent or any assignment of rights by, or the replacement of, a Lender, the termination of this Agreement and the payments of the Loans and all other amounts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2.18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Payments by the Borrower</w:t>
      </w:r>
      <w:r>
        <w:rPr>
          <w:rFonts w:ascii="Times New Roman;Times;Serif" w:hAnsi="Times New Roman;Times;Serif"/>
          <w:b w:val="false"/>
          <w:i w:val="false"/>
          <w:caps w:val="false"/>
          <w:smallCaps w:val="false"/>
          <w:sz w:val="20"/>
        </w:rPr>
        <w:t>. The Borrower shall make each payment required to be made by it hereunder (whether of principal, interest, fees or reimbursement of LC Disbursements, or of amounts payable under Section 2.15, 2.16 or 2.17, or otherwise) or under any other Loan Document (except to the extent otherwise provided therein) prior to 12:00 noon, Local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 Issuing Lender as expressly provided herein and payments pursuant to Sections 2.15, 2.16, 2.17 and 10.03, which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amounts owing under this Agreement (including commitment fees, payments required under Section 2.15, and payments required under Section 2.16 relating to any Loan denominated in Dollars, but not including principal of, and interest on, any Loan denominated in any Foreign Currency, payments relating to any such Loan required under Section 2.16, which are payable in such Foreign Currency or Reimbursement Obligations, letter of credit fees or interest in respect of any Letter of Credit denominated in a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Application of Insufficient Payments</w:t>
      </w:r>
      <w:r>
        <w:rPr>
          <w:rFonts w:ascii="Times New Roman;Times;Serif" w:hAnsi="Times New Roman;Times;Serif"/>
          <w:b w:val="false"/>
          <w:i w:val="false"/>
          <w:caps w:val="false"/>
          <w:smallCaps w:val="false"/>
          <w:sz w:val="20"/>
        </w:rPr>
        <w:t xml:space="preserve">. If at any time insufficient funds are received by and available to the Administrative Agent to pay fully all amounts of principal, unreimbursed LC Disbursements, interest and fees then due hereunder, such funds shall be applied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 interest and fees then due hereunder, ratably among the parties entitled thereto in accordance with the amounts of interest and fees then due to such parties,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Treatment</w:t>
      </w:r>
      <w:r>
        <w:rPr>
          <w:rFonts w:ascii="Times New Roman;Times;Serif" w:hAnsi="Times New Roman;Times;Serif"/>
          <w:b w:val="false"/>
          <w:i w:val="false"/>
          <w:caps w:val="false"/>
          <w:smallCaps w:val="false"/>
          <w:sz w:val="20"/>
        </w:rPr>
        <w:t xml:space="preserve">. Except to the extent otherwise provided herein: (i) each Borrowing shall be made from the applicable Lenders, each payment of commitment fee under Section 2.12 shall be made for account of the applicable Lenders, and each termination or reduction of the amount of the Commitments under Section 2.09 shall be applied to the respective Commitments of the applicable Lenders,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according to the amounts of their respective Commitments under the applicable Facility; (ii) each Borrowing shall be allocated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among the applicable Lenders according to the amounts of their respective Commitments under the applicable Facility (in the case of the making of Loans) or their respective Loans that are to be included in such Borrowing (in the case of conversions and continuations of Loans); (iii) each payment or prepayment of principal of applicable Loans by the Borrower shall be made for account of the applicable Lenders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in accordance with the respective unpaid principal amounts of the applicable Loans held by them; and (iv) each payment of interest on applicable Loans by the Borrower shall be made for account of the applicable Lenders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in accordance with the amounts of interest on such Loans then due and payable to the respective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Sharing of Payments by Lenders</w:t>
      </w:r>
      <w:r>
        <w:rPr>
          <w:rFonts w:ascii="Times New Roman;Times;Serif" w:hAnsi="Times New Roman;Times;Serif"/>
          <w:b w:val="false"/>
          <w:i w:val="false"/>
          <w:caps w:val="false"/>
          <w:smallCaps w:val="false"/>
          <w:sz w:val="20"/>
        </w:rPr>
        <w:t xml:space="preserve">. If any Lender shall, by exercising any right of set-off or counterclaim or otherwise, obtain payment in respect of any principal of or interest on any of its Revolving Loans or Term Loans or participations in LC Disbursements, as applicable, resulting in such Lender receiving payment of a greater proportion of the aggregate amount of its Revolving Loans or Term Loans or participations in LC Disbursements and accrued interest thereon then due than the proportion received by any other Lender, then the Lender receiving such greater proportion shall purchase (for cash at face value) participations in the Loans and participations in LC Disbursements of other Lenders under the applicable Facility, as applicable, to the extent necessary so that the benefit of all such payments shall be shared by the Lenders under the applicable Facility ratably in accordance with the aggregate amount of principal of and accrued interest on their respective Loans and participations in LC Disbursements under the applicable Facility,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Restricted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Presumptions of Payment</w:t>
      </w:r>
      <w:r>
        <w:rPr>
          <w:rFonts w:ascii="Times New Roman;Times;Serif" w:hAnsi="Times New Roman;Times;Serif"/>
          <w:b w:val="false"/>
          <w:i w:val="false"/>
          <w:caps w:val="false"/>
          <w:smallCaps w:val="false"/>
          <w:sz w:val="20"/>
        </w:rPr>
        <w:t>. Unless the Administrative Agent shall have received notice from the Borrower prior to the date on which any payment is due to the Administrative Agent for account of the Lenders or any Issuing Lender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payment that the Administrative Agent makes for the account of the Lenders or any Issuing Lender hereunder as to which the Administrative Agent determines (which determination shall be conclusive absent manifest error) that any of the following applies (such payment referred to as the “</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Issuing Lenders, as the case may be, severally agrees to repay to the Administrative Agent forthwith on demand the Rescindable Amount so distributed to such Lender or such Issuing Lender, in same day funds with interest thereon, for each day from and including the date such amount is distributed to it to but excluding the date of payment to the Administrative Agent, at the greater of the Overnight Rate and a rate determined by the Administrative Agent in accordance with banking industry rules on interbank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the Administrative Agent to any Lender or Borrower with respect to any amount owing under this clause (e) shall be conclusive, absent manifest error.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Deductions by the Administrative Agent</w:t>
      </w:r>
      <w:r>
        <w:rPr>
          <w:rFonts w:ascii="Times New Roman;Times;Serif" w:hAnsi="Times New Roman;Times;Serif"/>
          <w:b w:val="false"/>
          <w:i w:val="false"/>
          <w:caps w:val="false"/>
          <w:smallCaps w:val="false"/>
          <w:sz w:val="20"/>
        </w:rPr>
        <w:t>. If any Lender shall fail to make any payment required to be made by it pursuant to Section 2.04(e), 2.05(b) or 2.18(e), then the Administrative Agent may, in its discretion and notwithstanding any contrary provision hereof, (i) apply any amounts thereafter received by the Administrative Agent for the account of such Lender for the benefit of the Administrative Agent or any applicable Issuing Lenders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2.19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Designation of a Different Lending Office</w:t>
      </w:r>
      <w:r>
        <w:rPr>
          <w:rFonts w:ascii="Times New Roman;Times;Serif" w:hAnsi="Times New Roman;Times;Serif"/>
          <w:b w:val="false"/>
          <w:i w:val="false"/>
          <w:caps w:val="false"/>
          <w:smallCaps w:val="false"/>
          <w:sz w:val="20"/>
        </w:rPr>
        <w:t>. If any Lender requests compensation under Section 2.15, or if the Borrower is required to pay any additional amount to any Lender or any Governmental Authority for account of any Lender pursuant to Section 2.17,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If any Lender requests compensation under Section 2.15, or if the Borrower is required to pay any additional amount to any Lender or any Governmental Authority for account of any Lender pursuant to Section 2.17, if any Lender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10.04), all its interests, rights and obligations under this Agreement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received the prior written consent of the Administrative Agent (and, if a Revolving Commitment is being assigned, the Issuing Lenders),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2.20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Revolving Lender becomes a Defaulting Lender, then the following provisions shall apply for so long as such Revolving Lender is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unfunded portion of the Revolving Commitment of such Defaulting Lender pursuant to Section 2.12(a);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Revolving Commitment and Revolving Credit Exposure of such Defaulting Lender shall not be included in determining whether the Required Lenders, Required Revolving Lenders or Required Financial Covenant Lenders have taken or may take any action hereunder (including any consent to any amendment, waiver or other modification pursuant to Section 10.02);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(b) shall not apply to the vote of a Defaulting Lender in the case of an amendment, waiver or other modification requiring the consent of such Revolving Lender or each Lender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LC Exposure exists at the time such Revolving Lender becomes a Defaulting Lender then: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LC Exposure of such Defaulting Lender shall be reallocated among the non-Defaulting Lenders in accordance with their respective Applicable Percentages but only to the extent the sum of all non-Defaulting Lenders’ Revolving Credit Exposure (after giving effect to such reallocation) does not exceed the total of all non-Defaulting Lenders’ Revolving Commitments;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one Business Day following notice by the Administrative Agent, Cash Collateralize for the benefit of the Issuing Lenders only the Borrower’s obligations corresponding to such Defaulting Lender’s LC Exposure (after giving effect to any partial reallocation pursuant to clause (i) above) in accordance with the procedures set forth in Section 2.04(k) for so long as such LC Exposure is outstanding;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Lender’s LC Exposure pursuant to clause (ii) above, the Borrower shall not be required to pay any fees to such Defaulting Lender pursuant to Section 2.12(b)(i) with respect to such Defaulting Lender’s LC Exposure during the period such Defaulting Lender’s LC Exposure is Cash Collateralized;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LC Exposure of such Defaulting Lender is reallocated to the non-Defaulting Lenders pursuant to clause (i) above, then the fees payable to the Revolving Lenders pursuant to Section 2.12(a) and Section 2.12(b)(i) shall be adjusted in accordance with such non-Defaulting Lenders’ Applicable Percentages after giving effect to the reallocation of such Defaulting Lender’s LC Exposure pursuant to clause (i) above;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LC Exposure is neither reallocated nor Cash Collateralized pursuant to clause (i) or (ii) above, then, without prejudice to any rights or remedies of any Issuing Lender or any other Revolving Lender hereunder, all fees payable under Section 2.12(b)(i) with respect to such Defaulting Lender’s LC Exposure shall be payable to the applicable Issuing Lenders until and to the extent that such LC Exposure is reallocated and/or Cash Collateralized;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such Revolving Lender is a Defaulting Lender, no Issuing Lender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2.20(c), and participating interests in any newly issued or increased Letter of Credit shall be allocated among non-Defaulting Lenders in a manner consistent with Section 2.20(c)(i) (and such Defaulting Lender shall not participate therein);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or a Bail-In Action with respect to a Lender Parent of any Revolving Lender shall occur following the Sixth Restatement Effective Date and for so long as such event shall continue or (ii) any Issuing Lender has a good faith belief that any Revolving Lender has defaulted in fulfilling its obligations under one or more other agreements in which such Lender commits to extend credit, such Issuing Lender shall not be required to issue, amend or increase any Letter of Credit, unless such Issuing Lender shall have entered into arrangements with the Borrower or such Revolving Lender, satisfactory to such Issuing Lender to defease any risk to it in respect of such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and the Issuing Lenders each agrees that a Defaulting Lender has adequately remedied all matters that caused such Revolving Lender to be a Defaulting Lender, then the LC Exposure of the Revolving Lenders shall be readjusted to reflect the inclusion of such Revolving Lender’s Revolving Commitment and on such date such Revolving Lender shall purchase at par such of the Revolving Loans of the other Revolving Lenders as the Administrative Agent shall determine may be necessary in order for such Revolving Lender to hold such Revolving Loans in accordance with its Applicable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2.21 </w:t>
      </w:r>
      <w:r>
        <w:rPr>
          <w:rFonts w:ascii="Times New Roman;Times;Serif" w:hAnsi="Times New Roman;Times;Serif"/>
          <w:b w:val="false"/>
          <w:i w:val="false"/>
          <w:caps w:val="false"/>
          <w:smallCaps w:val="false"/>
          <w:sz w:val="20"/>
          <w:u w:val="single"/>
        </w:rPr>
        <w:t>Extensions of Commitments and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pursuant to one or more offers (each, an “</w:t>
      </w:r>
      <w:r>
        <w:rPr>
          <w:rFonts w:ascii="Times New Roman;Times;Serif" w:hAnsi="Times New Roman;Times;Serif"/>
          <w:b w:val="false"/>
          <w:i w:val="false"/>
          <w:caps w:val="false"/>
          <w:smallCaps w:val="false"/>
          <w:sz w:val="20"/>
          <w:u w:val="single"/>
        </w:rPr>
        <w:t>Extension Offer</w:t>
      </w:r>
      <w:r>
        <w:rPr>
          <w:rFonts w:ascii="Times New Roman;Times;Serif" w:hAnsi="Times New Roman;Times;Serif"/>
          <w:b w:val="false"/>
          <w:i w:val="false"/>
          <w:caps w:val="false"/>
          <w:smallCaps w:val="false"/>
          <w:sz w:val="20"/>
        </w:rPr>
        <w:t xml:space="preserve">”) made from time to time by the Borrower to all Lenders holding Revolving Commitments and/or Term Loans with a like termination date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(based on the aggregate principal amount of the Revolving Commitments and/or Term Loans, as applicable, with a like termination date) and on the same terms to each such Lender, the Borrower is hereby permitted to consummate from time to time transactions with individual Lenders that accept the terms contained in such Extension Offers to extend the termination date of each such Lender’s Revolving Commitments and/or Term Loans, as applicable, and otherwise modify the terms of such Revolving Commitments and/or Term Loans, as applicable, pursuant to the terms of the relevant Extension Offer (including by changing the interest rate or fees payable in respect of such Revolving Commitments (and related outstandings) and/or Term Loans, as applicable) (each, an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and each group of Revolving Commitments and/or Term Loans, as so extended, as well as the original Revolving Commitments and/or Term Loans (not so extended), being a “tranche”; any Extended Revolving Commitments shall constitute a separate tranche of Revolving Commitments from the tranche of Revolving Commitments from which they were converted; any Extended Term Loans shall constitute a separate tranche of Term Loans from the tranche of Term Loans from which they were converted), so long as the following terms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at the time the offering document in respect of an Extension Offer is delivered to the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to interest rates, fees and final maturity (which shall be determined by the Borrower and set forth in the relevant Extension Offer), the Revolving Commitment of any Lender that agrees to an extension with respect to such Revolving Commitment extended pursuant to an Extension (an “</w:t>
      </w:r>
      <w:r>
        <w:rPr>
          <w:rFonts w:ascii="Times New Roman;Times;Serif" w:hAnsi="Times New Roman;Times;Serif"/>
          <w:b w:val="false"/>
          <w:i w:val="false"/>
          <w:caps w:val="false"/>
          <w:smallCaps w:val="false"/>
          <w:sz w:val="20"/>
          <w:u w:val="single"/>
        </w:rPr>
        <w:t>Extended Revolving Commitment</w:t>
      </w:r>
      <w:r>
        <w:rPr>
          <w:rFonts w:ascii="Times New Roman;Times;Serif" w:hAnsi="Times New Roman;Times;Serif"/>
          <w:b w:val="false"/>
          <w:i w:val="false"/>
          <w:caps w:val="false"/>
          <w:smallCaps w:val="false"/>
          <w:sz w:val="20"/>
        </w:rPr>
        <w:t>”; and the Loans thereunder, “</w:t>
      </w:r>
      <w:r>
        <w:rPr>
          <w:rFonts w:ascii="Times New Roman;Times;Serif" w:hAnsi="Times New Roman;Times;Serif"/>
          <w:b w:val="false"/>
          <w:i w:val="false"/>
          <w:caps w:val="false"/>
          <w:smallCaps w:val="false"/>
          <w:sz w:val="20"/>
          <w:u w:val="single"/>
        </w:rPr>
        <w:t>Extended Revolving Loans</w:t>
      </w:r>
      <w:r>
        <w:rPr>
          <w:rFonts w:ascii="Times New Roman;Times;Serif" w:hAnsi="Times New Roman;Times;Serif"/>
          <w:b w:val="false"/>
          <w:i w:val="false"/>
          <w:caps w:val="false"/>
          <w:smallCaps w:val="false"/>
          <w:sz w:val="20"/>
        </w:rPr>
        <w:t xml:space="preserve">”), and the related outstandings, shall be a Revolving Commitment (or related outstandings, as the case may be) with the same terms as the original Revolving Commitments (and related outstandings);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subject to the provisions of Section 2.04(l) to the extent dealing with Letters of Credit which mature or expire after a termination date when there exist Extended Revolving Commitments with a longer termination date, all Letters of Credit shall be participated in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all Lenders with Revolving Commitments in accordance with their Applicable Percentages (and except as provided in Section 2.04(l), without giving effect to changes thereto on an earlier termination date with respect to Letters of Credit theretofore incurred or issued) and all borrowings under Revolving Commitments and repayments thereunder shall be made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(except for (A) payments of interest and fees at different rates on Extended Revolving Commitments (and related outstandings), (B) repayments required upon the voluntary termination or reduction of any tranche of non-extending Revolving Commitments by the Borrower in accordance with Section 2.09(b) and (C) repayments required upon the termination date of the non-extending Revolving Commitments), and (y) at no time shall there be Revolving Commitments hereunder (including Extended Revolving Commitments, any commitments under any Replacement Revolving Facility and any original Revolving Commitments) that have more than two different termination dates,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to interest rates, fees and final maturity (which, subject to the immediately succeeding clauses (iv), (v), (vi), (vii) and (vii) below, shall be determined by the Borrower and set forth in the relevant Extension Offer), the Term Loan of any Lender that agrees to an extension with respect to such Term Loan extended pursuant to an Extension (an “</w:t>
      </w:r>
      <w:r>
        <w:rPr>
          <w:rFonts w:ascii="Times New Roman;Times;Serif" w:hAnsi="Times New Roman;Times;Serif"/>
          <w:b w:val="false"/>
          <w:i w:val="false"/>
          <w:caps w:val="false"/>
          <w:smallCaps w:val="false"/>
          <w:sz w:val="20"/>
          <w:u w:val="single"/>
        </w:rPr>
        <w:t>Extended Term Loan”</w:t>
      </w:r>
      <w:r>
        <w:rPr>
          <w:rFonts w:ascii="Times New Roman;Times;Serif" w:hAnsi="Times New Roman;Times;Serif"/>
          <w:b w:val="false"/>
          <w:i w:val="false"/>
          <w:caps w:val="false"/>
          <w:smallCaps w:val="false"/>
          <w:sz w:val="20"/>
        </w:rPr>
        <w:t>) shall have terms no more favorable in any material respect, taken as a whole, than the terms of the Class of Term Loans subject to such Extension Offer (except for covenants and other provisions contained therein applicable only to periods after the then Latest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weighted average life to maturity of any Extended Term Loans shall be no shorter than the remaining weighted average life to maturity of the Term Loans extended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maturity date of Extended Term Loans shall not be earlier than the Maturity Date of the Term Loans extended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Extended Term Loans may participate on a pro rata basis or less than pro rata basis (but not greater than a pro rata basis other than as otherwise provided in this Agreement) in any voluntary or mandatory repayments or prepayments hereunder of any then-existing Term Loans, in each case as specified in the respective Extension Offer;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such Extended Term Loans are not secured by any assets or property that does not constitute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such Extended Term Loans are not guaranteed by any Subsidiary of the Borrower other than a Subsidiary Guarantor;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the aggregate principal amount of Revolving Commitments or Term Loans, as applicable, in respect of which Lenders shall have accepted the relevant Extension Offer shall exceed the maximum aggregate principal amount of Revolving Commitments or Term Loans, as applicable, offered to be extended by the Borrower pursuant to such Extension Offer, then the Revolving Commitments or Term Loans, as applicable, of such Lenders shall be extended ratably up to such maximum amount based on the respective principal amounts (but not to exceed actual holdings of record) with respect to which such Lenders have accepted such Extension Offer,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documentation in respect of such Extension shall be consistent with the foregoing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applicable Minimum Extension Condition shall be satisfied unless waived by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all Extensions consummated by the Borrower pursuant to this Section, (i) such Extensions shall not constitute voluntary or mandatory payments or prepayments for purposes of Sections 2.09, 2.10, 2.11 or 2.18 and (ii) no Extension Offer is required to be in any minimum amount or any minimum increment;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at its election specify as a condition (a “</w:t>
      </w:r>
      <w:r>
        <w:rPr>
          <w:rFonts w:ascii="Times New Roman;Times;Serif" w:hAnsi="Times New Roman;Times;Serif"/>
          <w:b w:val="false"/>
          <w:i w:val="false"/>
          <w:caps w:val="false"/>
          <w:smallCaps w:val="false"/>
          <w:sz w:val="20"/>
          <w:u w:val="single"/>
        </w:rPr>
        <w:t>Minimum Extension Condition</w:t>
      </w:r>
      <w:r>
        <w:rPr>
          <w:rFonts w:ascii="Times New Roman;Times;Serif" w:hAnsi="Times New Roman;Times;Serif"/>
          <w:b w:val="false"/>
          <w:i w:val="false"/>
          <w:caps w:val="false"/>
          <w:smallCaps w:val="false"/>
          <w:sz w:val="20"/>
        </w:rPr>
        <w:t>”) to consummating any such Extension that a minimum amount (to be determined and specified in the relevant Extension Offer in the Borrower’s sole discretion and may be waived by the Borrower) of Commitments or Term Loans, as applicable, of any or all applicable tranches be tendered. The Administrative Agent and the Lenders hereby consent to the transactions contemplated by this Section (including, for the avoidance of doubt, payment of any interest or fees in respect of any Extended Commitments or Extended Term Loans, as applicable, on such terms as may be set forth in the relevant Extension Offer) and hereby waive the requirements of any provision of this Agreement (including Sections 2.09, 2.10, 2.11 or 2.18) or any other Loan Document that may otherwise prohibit any such Extension or any other transaction contemplated by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consent of any Lender or the Administrative Agent shall be required to effectuate any Extension, other than (A) the consent of each Lender agreeing to such Extension with respect to its Commitments or Term Loans, as applicable (or a portion thereof), and (B) in connection with any Extension relating to Extended Revolving Commitments, the consent of each Issuing Lender, which consent shall not be unreasonably withheld or delayed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consent of an Issuing Lender shall not be required if, after giving effect to such Extension (and any amendments to this Agreement and the other Loan Documents relating thereto), such Issuing Lender shall have no obligation to issue Letters of Credit after the effective date of such Extension). All Extended Revolving Commitments and Extended Term Loans and all obligations in respect thereof shall be Obligations under this Agreement and the other Loan Documents that are secured by the Collateral and guaranteed on a pari passu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tranches or sub-tranches in respect of Commitments or Loans, as applicable, so extended and such technical amendments as may be necessary or appropriate in the discretion of the Administrative Agent and the Borrower in connection with the establishment of such new tranches or sub-tranches, in each case on terms consistent with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2.22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If any Lender determines that any Law has made it unlawful, or that any Governmental Authority has asserted that it is unlawful, for any Lender or its applicable Lending Office to make, maintain or fund Loans whose interest is determined by reference to the Term SOFR or Alternative Currency Term Rate, or to determine or charge interest rates based upon the Term SOFR or Alternative Currency Term Rate, or any Governmental Authority has imposed material restrictions on the authority of such Lender to purchase or sell, or to take deposits of, Dollars in the London interbank market, then, upon notice thereof by such Lender to the Borrower (through the Administrative Agent), (a) any obligation of such Lender to make or continue Alternative Currency Loans or Term SOFR Loans in the affected currency or to convert ABR Loans to Term SOFR Loans shall be suspended, and (b) if such notice asserts the illegality of such Lender making or maintaining ABR Loans the interest rate on which is determined by reference to the Term SOFR component of the Alternate Base Rate, the interest rate on which ABR Loans of such Lender shall, if necessary to avoid such illegality, be reasonably determined by the Administrative Agent without reference to the Term SOFR component of the Alternate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at the Borrower’s election, if applicable, convert all Term SOFR Loans of such Lender to ABR Loans (the interest rate on which ABR Loans of such Lender shall, if necessary to avoid such illegality, be reasonably determined by the Administrative Agent without reference to the Term SOFR component of the Alternate Base Rate), either on the last day of the Interest Period therefor, if such Lender may lawfully continue to maintain such Term SOFR Loans or Alternative Currency Loans to such day, or immediately, if such Lender may not lawfully continue to maintain such Term SOFR Loans or Alternative Currency Loans and (ii) if such notice asserts the illegality of such Lender determining or charging interest rates based upon the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Borrower shall also pay accrued interest on the amount so prepaid or converted, together with any additional amounts required pursuant to Section 2.16.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the Lenders that: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4.01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Each Group Member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are within the Borrower’s and each other Loan Party’s corporate powers and have been duly authorized by all necessary corporate and, if required, by all necessary shareholder action. This Agreement and each of the other Loan Documents have been duly executed and delivered by each Loan Party party thereto and constitutes, or when executed and delivered by such Loan Party will constitute, a legal, valid and binding obligation of such Loan Party, enforceable against each Loan Party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4.03 </w:t>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The Transactions (a) do not require any consent or approval of, registration or filing with, or any other action by, any Governmental Authority, except for (i) such as have been obtained or made and are in full force and effect and (ii) filings and recordings in respect of the Liens created pursuant to the Security Documents, (b) will not violate in any material respect any Requirement of Law, (c) will not violate in any material respect or result in a material default under any Contractual Obligation upon any Group Member or its assets, or give rise to a right thereunder to require any payment to be made by any such Person, (d) except for the Liens created pursuant to the Security Documents, will not result in the creation or imposition of any Lien on any asset of any Group Member, and (e) will not violate the terms of any Organization Document of any Group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4.04 </w:t>
      </w:r>
      <w:r>
        <w:rPr>
          <w:rFonts w:ascii="Times New Roman;Times;Serif" w:hAnsi="Times New Roman;Times;Serif"/>
          <w:b w:val="false"/>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Financial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has heretofore furnished to the Lenders the Audited Financial Statements and the Unaudited Financial Statements. Such financial statements present fairly, in all material respects, the financial position and results of operations and cash flows of the Borrower and its Subsidiaries as of such dates and for such periods in accordance with GAAP, subject, in the case of the Unaudited Financial Statements, to the absence of footnotes and to normal year-end audit adjustments. There are no liabilities of the Borrower or any of its Subsidiaries, fixed or contingent, which are material in relation to the consolidated financial condition of the Borrower that are not reflected in such financial statements or in the notes thereto, other than liabilities arising in the ordinary course of business since September 30,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September 30, 2025, there has not occurred any event, development or circumstance that has had or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4.05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Property Generally</w:t>
      </w:r>
      <w:r>
        <w:rPr>
          <w:rFonts w:ascii="Times New Roman;Times;Serif" w:hAnsi="Times New Roman;Times;Serif"/>
          <w:b w:val="false"/>
          <w:i w:val="false"/>
          <w:caps w:val="false"/>
          <w:smallCaps w:val="false"/>
          <w:sz w:val="20"/>
        </w:rPr>
        <w:t>. Each Group Member has good title to, or valid leasehold interests in, all its real and personal property material to its business, subject only to Liens permitted by Section 7.02 and except for minor defects in title that do not interfere with its ability to conduct its business as currently conducted or to utilize such properties for their intended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Group Member has valid title to all trademarks, tradenames, copyrights, patents and other intellectual property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purported to be owned by such Group Member that are material to the business of such Group Member, and all license agreements that are material to the business as currently conducted under which such Group Member uses Intellectual Property owned by a third party are, to the Borrower’s knowledge, valid and enforceable. To the Borrower’s knowledge, (x) there is no Intellectual</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that is not either owned by the Group Members or held under a license agreement and that is material to the business as currently conducted and (y) the use by any Group Member of Intellectual Property does not infringe upon the rights of any other Person except, in each case, that which, individually or in the aggregate,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w:t>
      </w:r>
      <w:r>
        <w:rPr>
          <w:rFonts w:ascii="Times New Roman;Times;Serif" w:hAnsi="Times New Roman;Times;Serif"/>
          <w:b w:val="false"/>
          <w:i w:val="false"/>
          <w:caps w:val="false"/>
          <w:smallCaps w:val="false"/>
          <w:sz w:val="20"/>
          <w:u w:val="single"/>
        </w:rPr>
        <w:t>Litigation and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Suits and Proceedings</w:t>
      </w:r>
      <w:r>
        <w:rPr>
          <w:rFonts w:ascii="Times New Roman;Times;Serif" w:hAnsi="Times New Roman;Times;Serif"/>
          <w:b w:val="false"/>
          <w:i w:val="false"/>
          <w:caps w:val="false"/>
          <w:smallCaps w:val="false"/>
          <w:sz w:val="20"/>
        </w:rPr>
        <w:t>. There are no actions, suits or proceedings by or before any arbitrator or Governmental Authority now pending against or, to the knowledge of the Borrower, threatened against or affecting any Group Member that, if adversely determined, could reasonably be expected, individually or in the aggregate, to result in a Material Adverse Effect or that involve this Agreement or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with respect to any matters that, individually or in the aggregate, could not reasonably be expected to result in a Material Adverse Effect, no Group Member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has actual knowledge, after due inquiry, of any event or circumstance which is reasonably expected to give rise to any Environmental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w:t>
      </w:r>
      <w:r>
        <w:rPr>
          <w:rFonts w:ascii="Times New Roman;Times;Serif" w:hAnsi="Times New Roman;Times;Serif"/>
          <w:b w:val="false"/>
          <w:i w:val="false"/>
          <w:caps w:val="false"/>
          <w:smallCaps w:val="false"/>
          <w:sz w:val="20"/>
          <w:u w:val="single"/>
        </w:rPr>
        <w:t>Compliance with Laws and Contractual Obligations</w:t>
      </w:r>
      <w:r>
        <w:rPr>
          <w:rFonts w:ascii="Times New Roman;Times;Serif" w:hAnsi="Times New Roman;Times;Serif"/>
          <w:b w:val="false"/>
          <w:i w:val="false"/>
          <w:caps w:val="false"/>
          <w:smallCaps w:val="false"/>
          <w:sz w:val="20"/>
        </w:rPr>
        <w:t>. Each Group Member is in compliance with all Requirements of Law applicable to it or its property or all Contractual Obligations binding upon it or its property, except where the failure to do so, individually or in the aggregate, could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4.08 </w:t>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No Group Member is an “investment company” as defined in, or subject to regulation under, the Investment Company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Group Member has timely filed or caused to be filed all Tax returns and reports required to have been filed and has paid or caused to be paid all Taxes required to have been paid by it, except (a) (i) Taxes that are being contested in good faith by appropriate proceedings and for which such Person has set aside on its books adequate reserves in conformity with GAAP or (ii) Taxes that have been accrued under FASB Interpretation No. 48 (codified as Accounting Standards Codification 740-10) (“</w:t>
      </w:r>
      <w:r>
        <w:rPr>
          <w:rFonts w:ascii="Times New Roman;Times;Serif" w:hAnsi="Times New Roman;Times;Serif"/>
          <w:b w:val="false"/>
          <w:i w:val="false"/>
          <w:caps w:val="false"/>
          <w:smallCaps w:val="false"/>
          <w:sz w:val="20"/>
          <w:u w:val="single"/>
        </w:rPr>
        <w:t>FIN 48</w:t>
      </w:r>
      <w:r>
        <w:rPr>
          <w:rFonts w:ascii="Times New Roman;Times;Serif" w:hAnsi="Times New Roman;Times;Serif"/>
          <w:b w:val="false"/>
          <w:i w:val="false"/>
          <w:caps w:val="false"/>
          <w:smallCaps w:val="false"/>
          <w:sz w:val="20"/>
        </w:rPr>
        <w:t>”) in conformity with GAAP or (b) to the extent that the failure to do so could not reasonably be expected to result in a Material Adverse Effect; no Tax Lien has been filed, and, to the knowledge of the Borrower, no claim is being asserted, with respect to any such Tax, fee or other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val="false"/>
          <w:i w:val="false"/>
          <w:caps w:val="false"/>
          <w:smallCaps w:val="false"/>
          <w:sz w:val="20"/>
          <w:u w:val="single"/>
        </w:rPr>
        <w:t>ERISA; 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ERISA Event has occurred or is reasonably expected to occur that, when taken together with all other such ERISA Events which have occurred or are reasonably expected to occur, could reasonably be expected to result in liability having a Material Adverse Effect. The present value of all accumulated benefit obligations under each Plan did not, as of the date of the most recent actuarial valuation report required to be prepared under the Code and ERISA reflecting such amounts, exceed by more than $75,000,000 (calculated on an actuarial valuation basis) the fair market value of the assets of all such underfunded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could not reasonably be expected to have a Material Adverse Effect, the accrued benefit obligations of each Foreign Plan (based on those assumptions used to fund such Foreign Plan) with respect to all current and former participants do not exceed the assets of such Foreign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Borrower has disclosed to the Lenders all agreements, instruments and corporate or other restrictions to which it or any other Group Member is subject, and all other matters known to it, that, individually or in the aggregate, could reasonably be expected to result in a Material Adverse Effect. None of the reports, financial statements, certificates or other information furnished by or on behalf of the Borrower or any other Group Member to the Administrative Agent or any Lender in connection with the negotiation of this Agreement and the other Loan Documents or delivered hereunder or thereunder (as modified or supplemented by other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so furnished) contains any material misstatement of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that were believed by the Borrower to be reasonable at the time made, it being understood that the actual results may vary from the results projected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val="false"/>
          <w:i w:val="false"/>
          <w:caps w:val="false"/>
          <w:smallCaps w:val="false"/>
          <w:sz w:val="20"/>
          <w:u w:val="single"/>
        </w:rPr>
        <w:t>Use of Credit</w:t>
      </w:r>
      <w:r>
        <w:rPr>
          <w:rFonts w:ascii="Times New Roman;Times;Serif" w:hAnsi="Times New Roman;Times;Serif"/>
          <w:b w:val="false"/>
          <w:i w:val="false"/>
          <w:caps w:val="false"/>
          <w:smallCaps w:val="false"/>
          <w:sz w:val="20"/>
        </w:rPr>
        <w:t>. No Group Member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val="false"/>
          <w:i w:val="false"/>
          <w:caps w:val="false"/>
          <w:smallCaps w:val="false"/>
          <w:sz w:val="20"/>
          <w:u w:val="single"/>
        </w:rPr>
        <w:t>Burdensome Agreements</w:t>
      </w:r>
      <w:r>
        <w:rPr>
          <w:rFonts w:ascii="Times New Roman;Times;Serif" w:hAnsi="Times New Roman;Times;Serif"/>
          <w:b w:val="false"/>
          <w:i w:val="false"/>
          <w:caps w:val="false"/>
          <w:smallCaps w:val="false"/>
          <w:sz w:val="20"/>
        </w:rPr>
        <w:t>. Except as set forth on Schedule 4.13, to the Borrower’s knowledge, no Group Member is a party to or bound by, nor are any of the properties or assets owned by any Group Member used in the conduct of their respective businesses affected by, any agreement, ordinance, resolution, decree, bond, note, indenture, order or judgment, including, without limitation, any of the foregoing relating to any Environmental Liability, that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4.14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Certain Group Members are party to various collective bargaining agreements or other labor contracts. The Borrower does not anticipate that the expiration of any such agreements will result in a Material Adverse Effect. Except as set forth on Schedule 4.14, (a) to the Borrower’s knowledge, no union or other labor organization is seeking to organize, or to be recognized as bargaining representative for, a bargaining unit of employees of any Group Member, (b) there is no pending or, to the Borrower’s knowledge, threatened strike, work stoppage, material unfair labor practice claim or charge, arbitration or other material dispute with any union or other labor organization affecting any Group Member or its union-represented employees, in each case the consequences of which could reasonably be expected to affect aggregate business (regardless of division or entity) of the Group Members which business generated gross revenues in excess of $50,000,000 individually or in the aggregate in the prior fiscal year, and (c) there are no actions, suits, charges, demands, claims, counterclaims or proceedings pending or, to the best of the Borrower’s knowledge, threatened against any Group Member, by or on behalf of, or with, its employees, other than any such actions, suits, charges, demands, claims, counterclaims or proceedings arising in the ordinary course of business that could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4.15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The Guarantee and Collateral Agreement is effective to create in favor of the Administrative Agent, for the benefit of the Secured Parties, a legal, valid and enforceable security interest in the Collateral as further described therein and proceeds thereof. In the case of: (i) the Pledged Stock as defined and described in the Guarantee and Collateral Agreement, when stock certificates representing such Pledged Stock are delivered to the Administrative Agent, (ii) other Collateral as further described in Guarantee and Collateral Agreement, when financing statements and other filings specified on Schedule 4.15(a) in appropriate form are filed in the offices specified on Schedule 4.15(a), and (iii) property acquired after the Sixth Restatement Effective Date, when any other action required pursuant to Section 6.11 is taken, the security interest created pursuant to the Guarantee and Collateral Agreement shall constitute valid perfected security interests in such Collateral and the proceeds thereof (to the extent a security interest in such Collateral can be perfected through the filing of such financing statements and the delivery of such Pledged Stock or the taking of such actions required pursuant to Section 6.11), as security for the Obligations (as defined in the Guarantee and Collateral Agreement), in each case prior and superior in right to any other Person (except, in the case of Collateral other than Pledged Stock,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Except as disclosed to the Administrative Agent by the Borrower in writing from time to time after the Sixth Restatement Effective Date, (a) Schedule 4.16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the Borrower or any Subsidiary, except as created by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Loan Parties (on a consolidated basis) are, on the Sixth Restatement Effective Date, before and after the consummation of the Transactions to occur on the Sixth Restatement Effective Date, Solvent.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4.18 </w:t>
      </w:r>
      <w:r>
        <w:rPr>
          <w:rFonts w:ascii="Times New Roman;Times;Serif" w:hAnsi="Times New Roman;Times;Serif"/>
          <w:b w:val="false"/>
          <w:i w:val="false"/>
          <w:caps w:val="false"/>
          <w:smallCaps w:val="false"/>
          <w:sz w:val="20"/>
          <w:u w:val="single"/>
        </w:rPr>
        <w:t>Senior Notes Indenture</w:t>
      </w:r>
      <w:r>
        <w:rPr>
          <w:rFonts w:ascii="Times New Roman;Times;Serif" w:hAnsi="Times New Roman;Times;Serif"/>
          <w:b w:val="false"/>
          <w:i w:val="false"/>
          <w:caps w:val="false"/>
          <w:smallCaps w:val="false"/>
          <w:sz w:val="20"/>
        </w:rPr>
        <w:t>. The Borrower has delivered to the Administrative Agent a complete and correct copy of the Senior Notes Indenture, including any amendments, supplements or modifications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4.19 </w:t>
      </w:r>
      <w:r>
        <w:rPr>
          <w:rFonts w:ascii="Times New Roman;Times;Serif" w:hAnsi="Times New Roman;Times;Serif"/>
          <w:b w:val="false"/>
          <w:i w:val="false"/>
          <w:caps w:val="false"/>
          <w:smallCaps w:val="false"/>
          <w:sz w:val="20"/>
          <w:u w:val="single"/>
        </w:rPr>
        <w:t>Anti-Corruption Laws and Sanctions; Patriot Act</w:t>
      </w:r>
      <w:r>
        <w:rPr>
          <w:rFonts w:ascii="Times New Roman;Times;Serif" w:hAnsi="Times New Roman;Times;Serif"/>
          <w:b w:val="false"/>
          <w:i w:val="false"/>
          <w:caps w:val="false"/>
          <w:smallCaps w:val="false"/>
          <w:sz w:val="20"/>
        </w:rPr>
        <w:t>. The Borrower has implemented and maintains in effect policies and procedures designed to ensure compliance by the Borrower, its Subsidiaries and their respective directors, officers, employees and agents (in each case, in such roles)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the Borrower, any Subsidiary , any of their respective directors, officers, employees, agents or affiliates is a Sanctioned Person. No Loan or Letter of Credit, use of proceeds or other transaction contemplated by this Agreement will violate any Anti-Corruption Law or applicable Sanctions or the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4.20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4.21 </w:t>
      </w:r>
      <w:r>
        <w:rPr>
          <w:rFonts w:ascii="Times New Roman;Times;Serif" w:hAnsi="Times New Roman;Times;Serif"/>
          <w:b w:val="false"/>
          <w:i w:val="false"/>
          <w:caps w:val="false"/>
          <w:smallCaps w:val="false"/>
          <w:sz w:val="20"/>
          <w:u w:val="single"/>
        </w:rPr>
        <w:t>Beneficial Ownership Certificate</w:t>
      </w:r>
      <w:r>
        <w:rPr>
          <w:rFonts w:ascii="Times New Roman;Times;Serif" w:hAnsi="Times New Roman;Times;Serif"/>
          <w:b w:val="false"/>
          <w:i w:val="false"/>
          <w:caps w:val="false"/>
          <w:smallCaps w:val="false"/>
          <w:sz w:val="20"/>
        </w:rPr>
        <w:t>. As of the Sixth Restatement Effective Date, the information included in the Beneficial Ownership Certification, if applicable, is true and correct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4.22 </w:t>
      </w:r>
      <w:r>
        <w:rPr>
          <w:rFonts w:ascii="Times New Roman;Times;Serif" w:hAnsi="Times New Roman;Times;Serif"/>
          <w:b w:val="false"/>
          <w:i w:val="false"/>
          <w:caps w:val="false"/>
          <w:smallCaps w:val="false"/>
          <w:sz w:val="20"/>
          <w:u w:val="single"/>
        </w:rPr>
        <w:t>Status as Senior Debt</w:t>
      </w:r>
      <w:r>
        <w:rPr>
          <w:rFonts w:ascii="Times New Roman;Times;Serif" w:hAnsi="Times New Roman;Times;Serif"/>
          <w:b w:val="false"/>
          <w:i w:val="false"/>
          <w:caps w:val="false"/>
          <w:smallCaps w:val="false"/>
          <w:sz w:val="20"/>
        </w:rPr>
        <w:t>. The Obligations are “Senior Debt,” “Senior Indebtedness,” “Guarantor Senior Debt” or “Senior Secured Financing” (or any comparable term) under, and as defined in, any documentation for any Indebtedness of the Borrower (whether outstanding on the Sixth Restatement Effective Date or thereafter incurred) that is subordinated or junior in right of payment to the Obligations pursuant to a written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5.02 </w:t>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any Loan, and of each Issuing Lender to issue, amend, renew or extend any Letter of Credit, is subject to the satisfaction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the Borrower set forth in this Agreement, and of each Loan Party in each of the Loan Documents to which it is a party, shall be true and correct in all material respects (or, with respect to representations and warranties modified by a materiality or Material Adverse Effect standard, in all respects) on and as of the date of such Loan or the date of issuance, amendment, renewal or extension of such Letter of Credit,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and warranty that expressly relates to a given date shall be true and correct in all material respects as of such given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representations and warranties contained in </w:t>
      </w:r>
      <w:r>
        <w:rPr>
          <w:rFonts w:ascii="Times New Roman;Times;Serif" w:hAnsi="Times New Roman;Times;Serif"/>
          <w:b w:val="false"/>
          <w:i w:val="false"/>
          <w:caps w:val="false"/>
          <w:smallCaps w:val="false"/>
          <w:sz w:val="20"/>
          <w:u w:val="single"/>
        </w:rPr>
        <w:t>Section 4.04(a)(i)</w:t>
      </w:r>
      <w:r>
        <w:rPr>
          <w:rFonts w:ascii="Times New Roman;Times;Serif" w:hAnsi="Times New Roman;Times;Serif"/>
          <w:b w:val="false"/>
          <w:i w:val="false"/>
          <w:caps w:val="false"/>
          <w:smallCaps w:val="false"/>
          <w:sz w:val="20"/>
        </w:rPr>
        <w:t xml:space="preserve"> with respect to the Audited Financial Statements and the Unaudited Financial Statements shall be deemed to refer to the most recent financial statements furnished pursuant to </w:t>
      </w:r>
      <w:r>
        <w:rPr>
          <w:rFonts w:ascii="Times New Roman;Times;Serif" w:hAnsi="Times New Roman;Times;Serif"/>
          <w:b w:val="false"/>
          <w:i w:val="false"/>
          <w:caps w:val="false"/>
          <w:smallCaps w:val="false"/>
          <w:sz w:val="20"/>
          <w:u w:val="single"/>
        </w:rPr>
        <w:t>Sections 6.01(a) and (b)</w:t>
      </w:r>
      <w:r>
        <w:rPr>
          <w:rFonts w:ascii="Times New Roman;Times;Serif" w:hAnsi="Times New Roman;Times;Serif"/>
          <w:b w:val="false"/>
          <w:i w:val="false"/>
          <w:caps w:val="false"/>
          <w:smallCaps w:val="false"/>
          <w:sz w:val="20"/>
        </w:rPr>
        <w:t>, as applicable; provided that, in the case of any Incremental Term Loans the proceeds of which are to be used (in whole or in part) to finance a Limited Condition Transaction, the applicable representations and warranties (A) may, if agreed to by the lenders providing such Incremental Term Loans, be limited to (1) the specified representations as may be agreed by the Lenders providing such Incremental Term Loan (or such other formulation thereof as may be agreed by the lenders providing such Incremental Facility) and (2) customary acquisition agreement representations for limited condition acquisitions (or such other formulation thereof as may be agreed by the lenders providing such Incremental Term Loans) and (B) if the Borrower has made an LCT Election, shall be tested in accordance with Section 1.09 on the applicable LCT Test Date; provided further that, in such a case, on the applicable LCT Test Date (and as a condition to the requested Incremental Term Loans), such representations and warranties shall be true and correct in all material respects (or, with respect to representations and warranties modified by a materiality or Material Adverse Effect standard, in all respects)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as of such LCT Test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Loan or the issuance, amendment, renewal or extension of such Letter of Credit, as applicable, no Default shall have occurred and be continuing; provided that in the case of any Incremental Term Loan the proceeds of which are to be used (in whole or in part) to finance a Limited Condition Transaction, at the election of the Borrower, this clause (b) shall be tested on the applicable LCT Test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Borrowing Request in accordance with the requirements hereof and, with respect to any Letter of Credit, the Administrative Agent and the applicable Issuing Lender shall have received the notice required pursuant to Section 2.04(b)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renewal or extension of a Letter of Credit shall be deemed to constitute a representation and warranty by the Borrower on the date thereof as to the matters specified in paragraphs (a) and (b) of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AFFIRMATIVE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Borrower covenants and agrees with the Lenders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6.01 </w:t>
      </w:r>
      <w:r>
        <w:rPr>
          <w:rFonts w:ascii="Times New Roman;Times;Serif" w:hAnsi="Times New Roman;Times;Serif"/>
          <w:b w:val="false"/>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The Borrower will furnish to the Administrative Agent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date that is the earliest of (i) the date on which the same shall have been filed with the SEC, (ii) the date the same are required to be filed with the SEC (without regard to any extension of the SEC’s filing requirements) and (iii) the day which is 120 days after the end of each fiscal year of the Borrower, (x) the audited consolidated balance sheet and related statements of income, stockholders’ equity and cash flows of the Borrower and its Subsidiaries as of the end of and for such year, setting forth in each case the consolidated financial statements, in comparative form the figures for the previous fiscal year, all reported on by Grant Thornton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Subsidiaries on a consolidated basis in accordance with GAAP and (y) the financial information of the Subsidiary Guarantors that would be required pursuant to Rule 3-10 of Regulation S-X if the Loans were publicly traded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date that is the earliest of (i) the date on which the same shall have been filed with the SEC, (ii) the date the same are required to be filed with the SEC (without regard to any extension of the SEC’s filing requirements) and (iii) the day which is 60 days after the end of each of the first three quarterly periods of each fiscal year of the Borrower, (x) the consolidated balance sheets and related consolidated statements of income and cash flows of the Borrower and its Subsidiaries as of the end of and for such fiscal quarter and the then elapsed portion of the fiscal year, setting forth in each case in comparative form the figures for (or, in the case of the balance sheet,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and consolidating basis in accordance with GAAP, subject to normal yearend audit adjustments and the absence of footnotes and (y) the financial information of the Subsidiary Guarantors that would be required pursuant to Rule 3-10 of Regulation S-X if the Loans were publicly traded Indebtedness;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concurrently with any delivery of financial statements under paragraph (a) or (b) of this Section, a certificate of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Sections 7.01, 7.06 and 7.11, (iii) certifying as to whether since the date of the last such certificate a Permitted Acquisition has occurred for which any Group Member incurred Indebtedness permitted under this Agreement to finance at least 35% of the consideration therefor, and if so, the date of such Permitted Acquisition, (iv) stating whether any change in GAAP or in the application thereof has occurred since the date of the Audited Financial Statements and, if any such change has occurred, specifying the effect of such change on the financial statements accompanying such certificate and (v) any related consolidating financial statements necessary to reflect adjustments to eliminate the accounts of Unrestricted Subsidiaries (if any) from the consolidated financial statements referred to in paragraphs (a) and (b)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concurrently with any delivery of financial statements under paragraph (a) of this Section, a certificate of the accounting firm that reported on such financial statements stating whether they obtained knowledge during the course of their examination of such financial statements of any Event of Default arising as a result of non-compliance with Article VII, including Section 7.11 (which certificate may be limited to the extent required by accounting rules or guidelines);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upon receipt thereof, copies of all other reports submitted to the Borrower by its independent certified public accountants in connection with any annual or interim audit or review of the books of the Borrower made by such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annually, as soon as available, but in any event within 120 days after the last day of each fiscal year of the Borrower, consolidated and consolidating projections of the Borrower and its Subsidiaries for the following five fiscal years of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promptly following receipt thereof, copies of any documents described in Sections 101(f), 101(k) or 101(l) of ERISA that any Group Member or any ERISA Affiliate may request or receive, as applicable, with respect to any Multiemployer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neither any Group Member nor any of their ERISA Affiliates have requested or received, as applicable, such documents or notices from the administrator or sponsor of the applicable Multiemployer Plan, then, upon reasonable written request of the Administrative Agent, one of the Group Members and/or such ERISA Affiliates shall promptly make a request for such documents or notices from such administrator or sponsor and the Borrower shall provide copies of such documents and notices to the Administrative Agent promptly after receipt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soon as reasonably practicable following a written request therefor, and no more frequently than once every twelve (12) months, copies of the most recently furnished plan funding notice described in Section 101(f) of ERISA with respect to any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applicable, promptly after the same become publicly available, copies of all periodic and other reports, proxy statements and other materials filed by any Group Member with the SEC, or any Governmental Authority succeeding to any or all of the functions of said Commission, or with any national securities exchange, or distributed by the Borrower to its shareholders generally,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promptly following any request therefor, such other information regarding the operations, business affairs and financial condition of any Group Member, or compliance with the terms of this Agreement and the other Loan Documents, as the Administrative Agent or any Lender may reasonably request;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Sections 6.01(a), (b) or, if applicable (i) (to the extent any such documents are included in materials otherwise filed with the SEC) shall be deemed to have been delivered on the date (i) on which the Borrower posts such documents or provides a link thereto on the Borrower’s website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notify the Administrative Agent (by telecopier or electronic mail) of the posting of any such documents and provide the Administrative Agent with electronic mail versions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acknowledges that (a) the Administrative Agent and/or the Arrangers may, but shall not be obligated to, make available to the Lenders and the Issuing Lenders materials and/or information provided by or on behalf of the Borrower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IntraLinks, Syndtrak, ClearPar, or a substantially similar electronic transmission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and (b) certain of the Lenders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such Borrower Materials constitute Information, they shall be treated as set forth in Section 10.13);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6.02 </w:t>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The Borrower will furnish to the Administrative Agent and each Lender prompt written notice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action, suit or proceeding by or before any arbitrator or Governmental Authority against or affecting the Borrower or any of its Affiliates, other than disputes in the ordinary course of business or, whether or not in the ordinary of business, disputes involving amounts exceeding $50,000,000 (excluding, however, any actions relating to workers’ compensation claims or negligence claims relating to use of motor vehicles, if fully covered by insurance, subject to deductibles);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ERISA Event that, alone or together with any other ERISA Events that have occurred, could reasonably be expected to result in liability of the Borrower or any of its ERISA Affiliates in an aggregate amount exceeding $75,000,000;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assertion of any claim with respect to any Environmental Liability by any Person against, or with respect to the activities of, the Borrower or any other Group Member and any alleged violation of or non-compliance with any Environmental Laws or any permits, licenses or authorizations, other than any such claim, alleged violation or non-compliance that, alone or together with any other such matters that have occurred, could not reasonably be expected to result in liability of the Group Members in an aggregate amount exceeding $50,000,000;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five days thereof (or such earlier time as set forth in Section 5.4 of the Guarantee and Collateral Agreement), any change in (i) any Loan Party’s corporate name, (ii) any Loan Party’s corporate structure, (iii) any Loan Party’s jurisdiction of organization or (iv) the organization identification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if any, or, with respect to any Loan Party organized under the laws of a jurisdiction that requires such information to be set forth on the face of a UCC financing statement, the Federal Taxpayer Identification Number of such Loan Party (and the Borrower agree not to effect or permit any of the Loan Parties to effect any change referred to in this Section 6.02(e) unless all filings have been made under the UCC or otherwise that are required in order for the Administrative Agent to continue at all times following such change to have a valid, legal and perfected security interest in all the Collateral as contemplated in the Security Documents);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development that results in, or could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6.03 </w:t>
      </w:r>
      <w:r>
        <w:rPr>
          <w:rFonts w:ascii="Times New Roman;Times;Serif" w:hAnsi="Times New Roman;Times;Serif"/>
          <w:b w:val="false"/>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The Borrower will, and will cause each of its Restricted Subsidiaries to, do or cause to be done all things necessary to (a) preserve, renew and keep in full force and effect its legal existence and the rights, licenses, permits, privileges and franchises material to the conduct of its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permitted under Section 7.03); and (b) maintain in effect and enforce policies and procedures designed to ensure compliance by the Borrower, its Restricted Subsidiaries and their respective directors, officers, employees and agents with Anti-Corruption Laws and applicable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6.04 </w:t>
      </w:r>
      <w:r>
        <w:rPr>
          <w:rFonts w:ascii="Times New Roman;Times;Serif" w:hAnsi="Times New Roman;Times;Serif"/>
          <w:b w:val="false"/>
          <w:i w:val="false"/>
          <w:caps w:val="false"/>
          <w:smallCaps w:val="false"/>
          <w:sz w:val="20"/>
          <w:u w:val="single"/>
        </w:rPr>
        <w:t>Payment of Obligations</w:t>
      </w:r>
      <w:r>
        <w:rPr>
          <w:rFonts w:ascii="Times New Roman;Times;Serif" w:hAnsi="Times New Roman;Times;Serif"/>
          <w:b w:val="false"/>
          <w:i w:val="false"/>
          <w:caps w:val="false"/>
          <w:smallCaps w:val="false"/>
          <w:sz w:val="20"/>
        </w:rPr>
        <w:t>. The Borrower will, and will cause each of its Restricted Subsidiaries to, pay its obligations, including tax liabilities, that, if not paid, could result in a Material Adverse Effect before the same shall become delinquent or in default, except where (1) (a) the validity or amount thereof is being contested in good faith by appropriate proceedings and (b) the Borrower or such Restricted Subsidiary has set aside on its books adequate reserves with respect thereto in accordance with GAAP or (2) solely relating to tax liabilities, such Taxes have been accrued under FIN 48 in conformity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6.05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The Borrower will, and will cause each of its Restricted Subsidiaries to, keep and maintain all property material to the conduct of its business in good working order and condition, ordinary wear and tear excepted.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6.06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xml:space="preserve">. The Borrower will, and will cause each of its Restricted Subsidiaries to, maintain, with financially sound and reputable insurance companies, insurance in such amounts and against such risks as are customarily maintained by companies engaged in the same or similar businesses operating in the same or similar locations;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maintain self-insurance consistent with its past practices and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6.07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Borrower will, and will cause each of its Restricted Subsidiaries to, keep proper books of record and account in which full, true and correct entries in all material respects are made of all dealings and transactions in relation to its business and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6.08 </w:t>
      </w:r>
      <w:r>
        <w:rPr>
          <w:rFonts w:ascii="Times New Roman;Times;Serif" w:hAnsi="Times New Roman;Times;Serif"/>
          <w:b w:val="false"/>
          <w:i w:val="false"/>
          <w:caps w:val="false"/>
          <w:smallCaps w:val="false"/>
          <w:sz w:val="20"/>
          <w:u w:val="single"/>
        </w:rPr>
        <w:t>Inspection Rights</w:t>
      </w:r>
      <w:r>
        <w:rPr>
          <w:rFonts w:ascii="Times New Roman;Times;Serif" w:hAnsi="Times New Roman;Times;Serif"/>
          <w:b w:val="false"/>
          <w:i w:val="false"/>
          <w:caps w:val="false"/>
          <w:smallCaps w:val="false"/>
          <w:sz w:val="20"/>
        </w:rPr>
        <w:t xml:space="preserve">. The Borrower will, and will cause each of its Restricted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visit or discussions shall be at the expense of the Administrative Agent or any Lender, as applicable, unless a Default has occurred and is continuing in which case the expenses of the Administrative Agent or any Lender, as applicable, in connection therewith shall be paid or reimbursed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6.09 </w:t>
      </w:r>
      <w:r>
        <w:rPr>
          <w:rFonts w:ascii="Times New Roman;Times;Serif" w:hAnsi="Times New Roman;Times;Serif"/>
          <w:b w:val="false"/>
          <w:i w:val="false"/>
          <w:caps w:val="false"/>
          <w:smallCaps w:val="false"/>
          <w:sz w:val="20"/>
          <w:u w:val="single"/>
        </w:rPr>
        <w:t>Compliance with Laws and Contractual Obligations</w:t>
      </w:r>
      <w:r>
        <w:rPr>
          <w:rFonts w:ascii="Times New Roman;Times;Serif" w:hAnsi="Times New Roman;Times;Serif"/>
          <w:b w:val="false"/>
          <w:i w:val="false"/>
          <w:caps w:val="false"/>
          <w:smallCaps w:val="false"/>
          <w:sz w:val="20"/>
        </w:rPr>
        <w:t>. The Borrower will, and will cause each of its Restricted Subsidiaries to, comply with all Requirements of Law (including any Environmental Laws)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it or its property, and all Contractual Obligations binding upon it or its property, except where the failure to do so, individually or in the aggregate,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6.10 </w:t>
      </w:r>
      <w:r>
        <w:rPr>
          <w:rFonts w:ascii="Times New Roman;Times;Serif" w:hAnsi="Times New Roman;Times;Serif"/>
          <w:b w:val="false"/>
          <w:i w:val="false"/>
          <w:caps w:val="false"/>
          <w:smallCaps w:val="false"/>
          <w:sz w:val="20"/>
          <w:u w:val="single"/>
        </w:rPr>
        <w:t>Use of Proceeds and Letters of Credit</w:t>
      </w:r>
      <w:r>
        <w:rPr>
          <w:rFonts w:ascii="Times New Roman;Times;Serif" w:hAnsi="Times New Roman;Times;Serif"/>
          <w:b w:val="false"/>
          <w:i w:val="false"/>
          <w:caps w:val="false"/>
          <w:smallCaps w:val="false"/>
          <w:sz w:val="20"/>
        </w:rPr>
        <w:t>. The proceeds of the Loans and the Letters of Credit issued hereunder, will only be used by the Borrower to make Restricted Payments expressly permitted under Section 7.07 and to finance the working capital needs and general corporate purposes of the Borrower and its Subsidiaries. No part of the proceeds of any Loan will be used, whether directly or indirectly, for any purpose that entails a violation of any of the Regulations of the Board, including Regulations U and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6.11 </w:t>
      </w:r>
      <w:r>
        <w:rPr>
          <w:rFonts w:ascii="Times New Roman;Times;Serif" w:hAnsi="Times New Roman;Times;Serif"/>
          <w:b w:val="false"/>
          <w:i w:val="false"/>
          <w:caps w:val="false"/>
          <w:smallCaps w:val="false"/>
          <w:sz w:val="20"/>
          <w:u w:val="single"/>
        </w:rPr>
        <w:t>Collateral;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New Property</w:t>
      </w:r>
      <w:r>
        <w:rPr>
          <w:rFonts w:ascii="Times New Roman;Times;Serif" w:hAnsi="Times New Roman;Times;Serif"/>
          <w:b w:val="false"/>
          <w:i w:val="false"/>
          <w:caps w:val="false"/>
          <w:smallCaps w:val="false"/>
          <w:sz w:val="20"/>
        </w:rPr>
        <w:t>. With respect to any property acquired (including, without limitation, pursuant to a Division) after the Effective Date by any Borrower or any Subsidiary Guarantor (other than (i) any property described in paragraph (c) or (d) of this Section (which shall be governed by the terms thereof), (ii) any property subject to a Lien expressly permitted by Section 7.02(d), (e) or (f), (iii) property acquired by any Unrestricted Subsidiary, Excluded Foreign Subsidiary or Immaterial Subsidiary and (iv) any real property (including leased real property)) as to which the Administrative Agent, for the benefit of the Secured Parties, does not have a perfected Lien, the Borrower will, and will cause each of its Restricted Subsidiaries to, promptly, (A) execute and deliver to the Administrative Agent such amendments to the Guarantee and Collateral Agreement or such other documents as the Administrative Agent reasonably deems necessary to grant to the Administrative Agent, for the benefit of the Secured Parties, a security interest in such property and (B) take all actions reasonably necessary to grant to the Administrative Agent, for the benefit of the Secured Parties, a perfected first priority security interest in such property (subject to Permitted Liens), including the filing of Uniform Commercial Code financing statements in such jurisdictions as may be reasonably required by the Guarantee and Collateral Agreement or by law or as reasonably may be requested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New Subsidiaries</w:t>
      </w:r>
      <w:r>
        <w:rPr>
          <w:rFonts w:ascii="Times New Roman;Times;Serif" w:hAnsi="Times New Roman;Times;Serif"/>
          <w:b w:val="false"/>
          <w:i w:val="false"/>
          <w:caps w:val="false"/>
          <w:smallCaps w:val="false"/>
          <w:sz w:val="20"/>
        </w:rPr>
        <w:t>. With respect to any new Subsidiary (other than an Unrestricted Subsidiary, an Excluded Foreign Subsidiary or an Immaterial Subsidiary) created or acquired (including, without limitation, upon the creation or acquisition of any Subsidiary that is a Division Successor) after the Effective Date by the Borrower or any of its Restricted Subsidiaries (which, for the purposes of this paragraph, shall include any existing Restricted Subsidiary that ceases to be an Unrestricted Subsidiary, an Excluded Foreign Subsidiary or an Immaterial Subsidiary), the Borrower will, and will cause each of its Restricted Subsidiaries to, promptly (i) execute and deliver to the Administrative Agent such amendments to the Guarantee and Collateral Agreement as the Administrative Agent reasonably deems necessary to grant to the Administrative Agent, for the benefit of the Secured Parties, a perfected first priority security interest in the Capital Stock of such new Subsidiary that is owned by the Borrower or any of its Restricted Subsidiaries, as applicable, (ii) deliver to the Administrative Agent the certificates representing such Capital Stock, together with undated stock powers, in blank, executed and delivered by a duly authorized officer of the Borrower or any of its Restricted Subsidiaries, as applicable, (iii) cause such new Restricted Subsidiary (A) to become a party to the Guarantee and Collateral Agreement, (B) to take such actions reasonably necessary to grant to the Administrative Agent, for the benefit of the Secured Parties, a perfected first priority security interest in the Collateral described in the Guarantee and Collateral Agreement with respect to such new Restricted Subsidiary (but no security interest shall be granted in any real property), including the filing of Uniform Commercial Code financing statements in such jurisdictions as reasonably may be required by the Guarantee and Collateral Agreement or by law or as reasonably may be requested by the Administrative Agent and (C) to deliver to the Administrative Agent a closing certificate of such new Restricted Subsidiary, which certificate shall be in the form and substance reasonably satisfactory to the Administrative Agent, and (iv) if requested by the Administrative Agent, deliver to the Administrative Agent legal opinions relating to the matters described above, which opinions shall be in customary form and substance, and from counsel,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Excluded Foreign Subsidiaries</w:t>
      </w:r>
      <w:r>
        <w:rPr>
          <w:rFonts w:ascii="Times New Roman;Times;Serif" w:hAnsi="Times New Roman;Times;Serif"/>
          <w:b w:val="false"/>
          <w:i w:val="false"/>
          <w:caps w:val="false"/>
          <w:smallCaps w:val="false"/>
          <w:sz w:val="20"/>
        </w:rPr>
        <w:t>. With respect to any new Excluded Foreign Subsidiary (other than an Immaterial Subsidiary) created or acquired after the Effective Date by the Borrower or any of its Restricted Subsidiaries (other than by any Excluded Foreign Subsidiary or any Immaterial Subsidiary), the Borrower will, and will cause each of its Restricted Subsidiaries to, promptly (i) execute and deliver to the Administrative Agent such</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Guarantee and Collateral Agreement as the Administrative Agent reasonably deems necessary to grant to the Administrative Agent, for the benefit of the Secured Parties, a perfected first priority security interest in the Capital Stock of such new Subsidiary that is owned by the Borrower or any of its Domestic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more than 65% of the total outstanding voting Capital Stock of any such new Excluded Foreign Subsidiary be required to be so pledged), (ii) deliver to the Administrative Agent the certificates representing such pledged Capital Stock, together with undated stock powers, in blank, executed and delivered by a duly authorized officer of the Borrower or its Restricted Subsidiary, as applicable, and take such other action as reasonably may be necessary to perfect the Administrative Agent’s security interest therein and (iii) if requested by the Administrative Agent, deliver to the Administrative Agent legal opinions relating to the matters described above, which opinions shall be in customary form and substance, and from counsel, reasonably satisfactory to the Administrative Agent. For the avoidance of doubt, no Foreign Subsidiary of the Borrower that is a “controlled foreign corporation” pursuant to Section 957 of the Code shall be required to provide a guaranty or constitute a “Subsidiary Guarantor”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Borrower will, and will cause each of its Restricted Subsidiaries to, take such action from time to time as shall reasonably be requested by the Administrative Agent to effectuate the purposes and objectives of this Agreement including this Section, and the other Loan Documents. Notwithstanding anything in this Agreement or any Loan Documents to the contrary, the Borrower and its Restricted Subsidiaries shall not be required to execute and deliver to the Administrative Agent mortgages with respect to any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NEGATIVE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terminated and the principal of and interest on each Loan and all fees payable hereunder have been paid in full and all Letters of Credit have expired or terminated and all LC Disbursements shall have been reimbursed, the Borrower covenants and agrees with the Lenders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7.01 </w:t>
      </w:r>
      <w:r>
        <w:rPr>
          <w:rFonts w:ascii="Times New Roman;Times;Serif" w:hAnsi="Times New Roman;Times;Serif"/>
          <w:b w:val="false"/>
          <w:i w:val="false"/>
          <w:caps w:val="false"/>
          <w:smallCaps w:val="false"/>
          <w:sz w:val="20"/>
          <w:u w:val="single"/>
        </w:rPr>
        <w:t>Indebtedness; 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not, and will not permit any of its Restricted Subsidiaries to, create, incur, assume or permit to exist any Indebtedness,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any Loan Party pursuant to any Loan Document (including, without limitation, any additional Indebtedness incurred pursuant to Section 2.08 or Refinancing Debt incurred pursuant to Section 2.09);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Indebtedness of the Borrower to any other Group Member and of any Restricted Subsidiary to any other Group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Indebtedness of Group Members which are not Loan Parties to Group Members which are Loan Parties must also be expressly permitted by Section 7.06(d) or (r);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Indebtedness of the Borrower and any Domestic Subsidiaries outstanding on the Sixth Restatement Effective Date and listed on Part I of Schedule 7.01(a) and any refinancings, refundings, renewals, replacement, waivers, amendments, amendments and restatements or extensions thereof (without increasing, or shortening the maturity of, the principal amount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(including, without limitation, Capital Lease Obligations) secured by Liens expressly permitted by Section 7.02(e) in an aggregate principal amount not to exceed $75,000,000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Guarantees expressly permitted by Section 7.01(b);</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Indebtedness of any Group Member to any other Group Member listed on Part II of Schedule 7.01(a);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(A) is evidenced by the Global Intercompany Note and, if owing to a Loan Party, is subject to a Lien pursuant to the Guarantee and Collateral Agreement, (B) such Indebtedness is unsecured and, if owed by a Loan Party, subordinated in right of payment to the payment in full of the Obligations pursuant to the terms of the Global Intercompany Note and (C) any payment by any Subsidiary Guarantor under the Guarantee of the Obligations shall result in a pro rata reduction of the amount of any Indebtedness owing by such Subsidiary Guarantor to the Borrower or any other Subsidiary for whose benefit such payment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Indebtedness arising from the endorsement of instruments, the honoring by a bank or other financial institution of a check, draft or similar instrument inadvertently drawn in the ordinary course of business against insufficient funds, or in respect of netting services, overdraft protections or otherwise in connection with the operation of customary deposit accounts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Indebtedness with respect to (A) property casualty or liability insurance, (B) financing of insurance premiums with the providers of such insurance or their Affiliates, (C) take-or-pay obligations in supply arrangements consistent with past practice, (D) self-insurance obligations, (E) performance, bid, surety, custom, utility and advance payment bonds, or (F) performance and completion guaranties, in each case,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arising from agreements providing for indemnification or similar obligations in each case incurred in connection with an acquisition or other Investment expressly permitted by Section 7.06 or any disposition expressly permitted by Section 7.04;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Indebtedness in the form of customary obligations under indemnification, incentive, non-compete, consulting, deferred compensation, earn-out (based on the income of the assets acquired after the acquisition thereof) or other customary similar arrangements otherwise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resulting from judgments not resulting in an Event of Default under paragraph (k) of Article VIII;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resulting from unfunded pension fund and other employee benefit plan obligations and liabilities to the extent that they are permitted to remain unfunded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resulting from Swap Agreements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Indebtedness consisting of guaranties of loans made to officers, directors or employees of any Group Member in an aggregate amount which shall not exceed $2,000,000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(A) Indebtedness of the Borrower in respect of the Senior Notes in an aggregate principal amount not to exceed $1,250,000,000 (and Indebtedness resulting from any refinancing or replacement thereof as permitted by the Senior Notes Indenture, so long as the aggregate principal amount thereof shall not increase to more than $1,250,000,000 and the maturity thereof shall not be shortened) and (B) Guarantee Obligations of any Subsidiary Guarantor in respect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aggregate principal amount referenced in clause (A) shall not be deemed to be exceeded as a result of the incurrence of any refinancing or replacement Indebtedness in respect thereof so long as the net cash proceeds received as a result of such refinancing or replacement Indebtedness shall be placed in a segregated account or irrevocably deposited with the trustee for the Senior Notes and used by the Borrower within 45 days following such incurrence and receipt of such net proceeds for the repurchase of, tender for and/or redemption of Senior Notes and for expenses incurred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ESOP Loans constituting Indebtedness of the Borrower in an aggregate principal amount not to exceed $60,000,000;</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-79-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secured Indebtedness in an aggregate amount not to exceed $125,000,000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secured Indebtedness of any Foreign Subsidiary in an aggregate amount not to exceed $200,000,000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Indebtedness that is unsecured in an aggregate amount not to exceed $500,000,000 at any time outstanding, so long as, after giving effect to the incurrence of such Indebtedness on a pro forma basis, (A) the Borrower is in compliance with Section 7.11 as of the end of the most recent fiscal quarter for which financial statements have been delivered and (B) no Default shall have occurred and be continuing, and, without limiting any of the forgoing, any refinancings, refundings, renewals, replacement, waivers, amendments, amendments and restatements or extensions thereof (without increasing, or shortening the maturity of, the principal amount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Permitted Subordinated Debt, so long as, after giving effect to the incurrence of such Indebtedness on a pro forma basis, (A) the Borrower is in compliance with Section 7.11 as of the end of the most recent fiscal quarter for which financial statements have been delivered and (B) no Default shall have occurred and be continuing, and any refinancings, refundings, renewals, replacement, waivers, amendments, amendments and restatements or extensions thereof (without increasing, or shortening the maturity of, the principal amount thereof) so long as the resulting Indebtedness shall constitute Permitted Subordinated Debt;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Indebtedness of the Borrower or any of its Subsidiaries that is unsecured, so long as, after giving effect to the incurrence of such Indebtedness on a pro forma basis, (A) the Borrower is in compliance with Section 7.11(a), calculated with the Consolidated Leverage Ratio level set forth therein for the most recently ended fiscal quarter less 0.50, (B) the Borrower is in compliance with Section 7.11 as of the end of the most recent fiscal quarter for which financial statements have been delivered and (C) no Default shall have occurred and be continuing, and any refinancings, refundings, renewals, replacement, waivers, amendments, amendments and restatements or extensions thereof (without increasing, or shortening the maturity of, the principal amount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in addition to Indebtedness otherwise expressly permitted by this Section, Indebtedness of the Borrower and its Subsidiaries not to exceed, together with (but without duplication of) any Guarantees outstanding pursuant to Section 7.01(b)(v), $175,000,000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Secured Indebtedness in an aggregate principal amount such that, immediately after giving effect to the incurrence of such Indebtedness, the use of proceeds thereof and any related pro forma adjustment thereto, the Borrower’s Consolidated Senior Secured Leverage Ratio does not exceed 3.50 to 1.00 calculated on a pro forma basis as of the last day of the most recently ended fiscal quarter for which financial statements have been delivered;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Indebtedness secured solely by Liens expressly permitted by Section 7.02(k);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Incremental Equivalent Debt.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and will not permit any of its Restricted Subsidiaries to, assume, endorse, be or become liable for, or Guarantee, the obligations of any other Person (except by the endorsement of negotiable instruments for deposit or collection in the ordinary course of business), except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Guarantees existing on the Sixth Restatement Effective Date and set forth on Schedule 7.01(b);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Guarantees by the Borrower or any Restricted Subsidiary of obligations of the Borrower or any Subsidiary Guarantor (including, without limitation, all Indebtedness expressly permitted under Section 7.01(a));</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Guarantees by a Restricted Subsidiary of obligations of the Borrower under leases for real or personal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Restricted Subsidiary will utilize all or a portion of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Guarantees by any Group Member of Indebtedness expressly permitted under Section 7.01(vi);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Guarantees are unsecured and subordinated to the extent the Indebtedness being so guaranteed is required to be so pursuant to Section 7.01(vi);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Guarantees of the Borrower and its Restricted Subsidiaries not to exceed, together with (but without duplication of) any Indebtedness outstanding pursuant to Section 7.01(a)(xxii), $175,000,000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Section 7.01, the Dollar Equivalent of the aggregate amount of any Indebtedness denominated in a Foreign Currency as of the date such Indebtedness is incurred shall be deemed to be the aggregate amount of such Indebtedness, and any fluctuation in the applicable exchange rate thereafter shall not affect compliance with this Section 7.01;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Indebtedness is refinanced then, to the extent such refinancing is denominated in the same Foreign Currency and in the same principal amount and incurred by the same borrower, the Dollar Equivalent of such refinanced Indebtedness shall be determined using the applicable exchange rate as of the date such Indebtedness so refinanced was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The Borrower will not, and will not permit any of its Restricted Subsidiaries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created pursuant to the Loan Documents and any Liens securing any Incremental Equivalent Debt, any additional Indebtedness incurred pursuant to Section 2.08 or Refinancing Debt incurred pursuant to Section 2.09;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property or asset of the Borrower or any of its Restricted Subsidiaries existing on the Sixth Restatement Effective Date and set forth on Schedule 7.02;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Lien shall extend to any other property or asset of the Borrower or any of its Restricted Subsidiaries and (ii) any such Lien shall secure only those obligations which it secures on the Sixth Restatement Effective Date and extensions, renewals, replacements and combinations thereof that do not increase the outstanding principal amount thereof or commitment therefor, in each case, as in effect on the Sixth Restatement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property or asset prior to the acquisition thereof by the Borrower or any Restricted Subsidiary or existing on any property or asset of any Person that becomes a Subsidiary after the Sixth Restatement Effective Date prior to the time such Person becomes a Subsidiary (including in connection with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original outstanding principal amount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fixed or capital assets acquired, constructed or improved by the Borrower or any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security interests secure Indebtedness expressly permitted by Section 7.01, (ii) such security interests and the Indebtedness secured thereby are incurred prior to or within six months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the Borrower or any Subsidiary;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on specifically identified inventory and accounts receivable covered by bankers’ acceptances resulting from import letters of credit which do not cover any assets other than those financed with such bankers’ acceptances;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on assets of any Group Member to secure (i) its Indebtedness (other than guarantees) or (ii) the Indebtedness of any other Group Member organized under the same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Group Member may Guarantee Indebtedness under this clause (ii) of Persons organized under a different jurisdiction), in each case permitted by Section 7.01(a)(xvii);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on assets of any Foreign Subsidiary securing Indebtedness of such Foreign Subsidiary permitted by Section 7.01(a)(xviii);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additional Liens not otherwise expressly permitted by this Section on any property or asset of the Borrower or any Restricted Subsidiary securing obligations in an aggregate amount not exceeding $175,000,000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subject to customary intercreditor arrangements reasonably satisfactory to the Administrative Agent and the Borrower, Liens securing Indebtedness permitted by Section 7.01(a)(xxiii) or (xxv);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(x) any real property (including, for the avoidance of doubt, related fixtures) and any and all improvements thereon whether now owned or at any time hereafter acquired by the Borrower or any of its Restricted Subsidiaries and (y) any proceeds with respect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amounts secured by Liens by virtue of accrual of interest, the accretion of accreted value, the payment of interest or dividends in the form of additional Indebtedness, amortization of original issue discount, and increases in the amount of Indebtedness outstanding as a result of fluctuations in the exchange rate of currencies, will not be deemed to be an incurrence of Liens for purposes of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7.03 </w:t>
      </w:r>
      <w:r>
        <w:rPr>
          <w:rFonts w:ascii="Times New Roman;Times;Serif" w:hAnsi="Times New Roman;Times;Serif"/>
          <w:b w:val="false"/>
          <w:i w:val="false"/>
          <w:caps w:val="false"/>
          <w:smallCaps w:val="false"/>
          <w:sz w:val="20"/>
          <w:u w:val="single"/>
        </w:rPr>
        <w:t>Mergers, Consolidations, Etc</w:t>
      </w:r>
      <w:r>
        <w:rPr>
          <w:rFonts w:ascii="Times New Roman;Times;Serif" w:hAnsi="Times New Roman;Times;Serif"/>
          <w:b w:val="false"/>
          <w:i w:val="false"/>
          <w:caps w:val="false"/>
          <w:smallCaps w:val="false"/>
          <w:sz w:val="20"/>
        </w:rPr>
        <w:t>. The Borrower will not, and will not permit any of its Restricted Subsidiaries to, enter into any transaction of merger or consolidation or amalgamation, or liquidate, wind up or dissolve itself (or suffer any liquidation or dissolution) (whether effected pursuant to a Division or otherwise), except that (i) any Subsidiary of the Borrower may be merged or consolidated with or into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the continuing or surviving corporation) or with or into any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Subsidiary Guarantor shall be the continuing or surviving corporation), (ii) any other Restricted Subsidiary which is not a Loan Party may be merged or consolidated with or into any other Restricted Subsidiary which is not a Loan Party, (iii) the Borrower or any of its Restricted Subsidiaries may do any of the foregoing to the extent required to make Permitted Acquisitions and (iv) any Restricted Subsidiary (other than a Subsidiary Guarantor) may liquidate or dissolve if the Borrower determines in good faith that such action is in the best interest of the Borrower and its Restricted Subsidiaries taken as a whole and is not disadvantageous to the Lenders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7.04 </w:t>
      </w:r>
      <w:r>
        <w:rPr>
          <w:rFonts w:ascii="Times New Roman;Times;Serif" w:hAnsi="Times New Roman;Times;Serif"/>
          <w:b w:val="false"/>
          <w:i w:val="false"/>
          <w:caps w:val="false"/>
          <w:smallCaps w:val="false"/>
          <w:sz w:val="20"/>
          <w:u w:val="single"/>
        </w:rPr>
        <w:t>Dispositions</w:t>
      </w:r>
      <w:r>
        <w:rPr>
          <w:rFonts w:ascii="Times New Roman;Times;Serif" w:hAnsi="Times New Roman;Times;Serif"/>
          <w:b w:val="false"/>
          <w:i w:val="false"/>
          <w:caps w:val="false"/>
          <w:smallCaps w:val="false"/>
          <w:sz w:val="20"/>
        </w:rPr>
        <w:t>. The Borrower will not, and will not permit any of its Restricted Subsidiaries to, convey, sell, lease, transfer or otherwise dispose of (including, without limitation, any disposition of property pursuant to a Division), in one transaction or a series of transactions, any part of its business or property, whether now owned or hereafter acquired (including receivables and leasehold interests) (any such transaction,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obsolete or worn-out property, tools or equipment no longer used or useful in its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inventory or other property sold or disposed of in the ordinary course of business and for fair consideration;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Restricted Subsidiary of the Borrower may sell, lease, transfer or otherwise dispose of any or all of its property (upon voluntary liquidation or otherwise) to the Borrower or any Restricted</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such transfer by a Subsidiary Guarantor, the transferee must also be a Subsidiary Guarantor or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Capital Stock of any Restricted Subsidiary of the Borrower may be sold, transferred or otherwise disposed of to the Borrower or any other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such transfer by a Subsidiary Guarantor, the transferee must also be a Subsidiary Guarantor or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Dispositions of property and assets for fair consideration and the fair market value of which does not exceed in the aggregate, together with all asset sales made in reliance upon this Section 7.04(e)(i), the General Disposition Basket; and (ii) Dispositions of property and assets for fair consideration so long as (x) such Disposition is for at least fair market value (as determined by the Borrower in good faith) and (y) at least 75% of the consideration from such Disposition received by the Borrower or such Restricted Subsidiary, as the case may be, is in the form of cash or Permitted Investments (provided that the amount of any Designated Non-Cash Consideration received by the Borrower or any of its Restricted Subsidiaries in such Disposition having an aggregate fair market value, taken together with all other Designated Non-Cash Consideration received since the Sixth Restatement Effective Date pursuant to this proviso that is at that time outstanding, not to exceed the greater of (i) $100.0 million (with the fair market value of each item of Designated Non-Cash Consideration being measured at the time received and without giving effect to subsequent changes in value) and (ii) 5.0% of Total Assets at the time of the receipt of such Designated Non-Cash Consideration shall be deemed to be cash or Permitted Investments for purposes of this clause (y) and for no other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cross-licensing or licensing of Intellectual Property, in the ordinary course of business or for fair consideration;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dispositions expressly permitted by Section 7.03;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leasing, occupancy or sub-leasing of real property in the ordinary course of business that would not materially interfere with the required use of such real property by the Borrower or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sale or discount of accounts receivable arising in the ordinary course of business in connection with the compromise or collection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this Section 7.04(i) be utilized for any receivables securitization or similar arrangement or any other arrangement resulting in the incurrence of Indebtedness by any Group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transfers of condemned property as a result of the exercise of “eminent domain” or other similar policies to the respective Governmental Authority or agency that has condemned the same (whether by deed in lieu of condemnation or otherwise), and transfers of properties that have been subject to a casualty to the respective insurer of such property as part of an insurance settlement;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expressly permitted by Section 7.02;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the Borrower may issue Capital Stock (other than Disqualified Stock) and (ii) Restricted Subsidiaries of the Borrower may issue Capital Stock (other than Disqualified Stock), in each case as permitted by Section 7.13;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Restricted Payments expressly permitted by Section 7.07;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made prior to the Sixth Restatement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7.06 </w:t>
      </w:r>
      <w:r>
        <w:rPr>
          <w:rFonts w:ascii="Times New Roman;Times;Serif" w:hAnsi="Times New Roman;Times;Serif"/>
          <w:b w:val="false"/>
          <w:i w:val="false"/>
          <w:caps w:val="false"/>
          <w:smallCaps w:val="false"/>
          <w:sz w:val="20"/>
          <w:u w:val="single"/>
        </w:rPr>
        <w:t>Investments and Acquisitions</w:t>
      </w:r>
      <w:r>
        <w:rPr>
          <w:rFonts w:ascii="Times New Roman;Times;Serif" w:hAnsi="Times New Roman;Times;Serif"/>
          <w:b w:val="false"/>
          <w:i w:val="false"/>
          <w:caps w:val="false"/>
          <w:smallCaps w:val="false"/>
          <w:sz w:val="20"/>
        </w:rPr>
        <w:t>. The Borrower will not, and will not permit any of its Restricted Subsidiaries to, make or suffer to exist any Investment in any Person or purchase or otherwise acquire (in one transaction or a series of transactions) any assets of any other Person constituting a business unit,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Investments and Investments in the Designated Entities existing on the Sixth Restatement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Guarantees expressly permitted by Section 7.01(b) and any payments made in respect of such Guarantees;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(other than Investments expressly permitted under paragraph (a) and (b) of this Section) existing on the Sixth Restatement Effective Date and set forth on Schedule 7.06;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by (i) the Borrower in any Subsidiary Guarantor or by any Restricted Subsidiary in any Subsidiary Guarantor or in the Borrower, (ii) any Restricted Subsidiary that is not a Loan Party in any Restricted Subsidiary that is not a Loan Party and (iii) any Loan Party in any Restricted Subsidiary that is not a Loan Party having an aggregate fair market value (with the fair market value of each Investment being measured at the time made and without giving effect to subsequent changes in value), taken together with all other Investments made pursuant to this clause (iii), not to exceed $100,000,000;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Unrestricted Subsidiaries having an aggregate fair market value, taken together with all other Investments made pursuant to this clause (e), not to exceed (x) $50,000,000 in any fiscal year and (y) $100,000,000 in the aggregate at any time outstanding (with the fair market value of each Investment being measured at the time made and without giving effect to subsequent changes in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and its Restricted Subsidiaries may make Permitted Acquisitions;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purchases of inventory and other property to be sold or used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subject to the absence of any continuing Default or Event of Default and compliance by the Borrower on a pro forma basis with the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Investments from the Available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Restricted Payments expressly permitted by Section 7.07 (other than Section 7.07(i));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extensions of trade credit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arising in connection with the incurrence of Indebtedness expressly permitted by Section 7.01(a);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(including debt obligations) received in the ordinary course of business by the Borrower or any Restricted Subsidiary in connection with the bankruptcy or reorganization of suppliers and customers and in settlement of delinquent obligations of, and other disputes with, customers and suppliers arising out of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of the Borrower or any Restricted Subsidiary under Swap Agreements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Investments of any Person in existence at the time such Person becomes a Subsidiary pursuant to a transaction expressly permitted by any other paragraph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Investment was not made in connection with or anticipation of such Person becoming a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Investments resulting from pledges and deposits referred to in paragraphs (b) and (c) of the definition of “Permitted Liens”;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forgiveness or conversion to equity of any Indebtedness expressly permitted by Section 7.01(a)(ii);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negotiable instruments and deposits held in the ordinary course of business;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 addition to Investments otherwise expressly permitted by this Section, Investments not exceeding in the aggregate $200,000,000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The Borrower will not, and will not permit any of its Restricted Subsidiaries to, declare or make, or agree to pay or make, directly or indirectly, any Restricted Payment,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declare and pay dividends with respect to its Capital Stock payable solely in additional shares of its Capital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make ESOP Purchases in an aggregate amount not to exceed $20,000,000 in any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ESOP Purchases made by the Borrower after the Sixth Restatement Effective Date shall not exceed $50,000,000;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make Restricted Payments so long as (i) after giving effect to such Restricted Payment on a pro forma basis, the Consolidated Leverage Ratio for the period of the four consecutive fiscal quarters of the Borrower most recently ended prior to such Restricted Payment for which financial statements have been delivered does not exceed 3.50 to 1.00 and (ii) no Default shall have occurred and be continuing or would result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make Restricted Payments not otherwise permitted hereunder in an aggregate amount not to exceed $125,000,000 in any fiscal year so long as no Default shall have occurred and be continuing or would result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or its Restricted Subsidiaries may issue shares of Capital Stock and make other equity awards to any eligible Person under the terms of any equity plan maintained by the Borrower or its Restricted Subsidiaries (a “</w:t>
      </w:r>
      <w:r>
        <w:rPr>
          <w:rFonts w:ascii="Times New Roman;Times;Serif" w:hAnsi="Times New Roman;Times;Serif"/>
          <w:b w:val="false"/>
          <w:i w:val="false"/>
          <w:caps w:val="false"/>
          <w:smallCaps w:val="false"/>
          <w:sz w:val="20"/>
          <w:u w:val="single"/>
        </w:rPr>
        <w:t>Borrower Equity Plan</w:t>
      </w:r>
      <w:r>
        <w:rPr>
          <w:rFonts w:ascii="Times New Roman;Times;Serif" w:hAnsi="Times New Roman;Times;Serif"/>
          <w:b w:val="false"/>
          <w:i w:val="false"/>
          <w:caps w:val="false"/>
          <w:smallCaps w:val="false"/>
          <w:sz w:val="20"/>
        </w:rPr>
        <w:t>”), including without limitation, making any Restricted Payment to any such eligible Person to satisfy any applicable tax withholding requirement with respect to any equity award granted to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Borrower and any of its Restricted Subsidiaries (i) may repurchase Capital Stock issued to employees, directors, and officers of the Borrower or any of its Restricted Subsidiaries (including repurchases of Capital Stock from severed or terminated employees, directors, and officers) pursuant to any Borrower Equity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such payments under this clause (f) shall not exceed $15,000,000 in any fiscal year and (ii) may declare and pay dividends or make Restricted Payments to one another to effect repurchases permitted by clause (i);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redemption, repurchase, retirement, defeasance or other acquisition of Subordinated Indebtedness of the Borrower or a Guarantor made in exchange for, or out of the proceeds of, the substantially concurrent sale of, new Indebtedness of the Borrower or a Guarantor, as the case may be, which is incurred in compliance with Section 7.01 hereof so long as: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(or accreted value, if applicable) of such new Indebtedness does not exceed the principal amount of (or accreted value, if applicable), plus any accrued and unpaid interest on, the Subordinated Indebtedness being so redeemed, repurchased, acquired or retired for value, plus the amount of any reasonable premium paid (including reasonable tender premiums) and any reasonable fees and expenses incurred in connection with the issuance of such new Indebtedness;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new Indebtedness is subordinated to the Obligations at least to the same extent as such Subordinated Indebtedness so purchased, exchanged, redeemed, repurchased, acquired or retired for value;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new Indebtedness has a final scheduled maturity date equal to or later than the final scheduled maturity date of the Subordinated Indebtedness being so redeemed, repurchased, acquired or retired;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new Indebtedness has a weighted average life to maturity equal to or greater than the remaining weighted average life to maturity of the Subordinated Indebtedness being so redeemed, repurchased, acquired or retired;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absence of any continuing Default or Event of Default and compliance by the Borrower on a pro forma basis with the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Restricted Payments from the Available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be deemed to prohibit the payment of dividends by any Restricted Subsidiary of the Borrower to the Borrower, any other Restricted Subsidiary of the Borrower or, if applicable, any minority shareholder of such Restricted Subsidiary (in accordance with the percentage of the Capital Stock of such Restricted Subsidiary owned by such minority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7.08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transactions at prices and on terms and conditions not less favorable to the Borrower or such Restricted Subsidiary than could be obtained on an arm’s-length basis from a Person that is not an Affiliate;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transactions between or among the Borrower and its wholly-owned Restricted Subsidiaries not involving any other Affiliate;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Investments permitted by Section 7.06;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Restricted Payment permitted by Section 7.07;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Affiliate who is a natural person may serve as an employee or director of the Borrower and receive reasonable compensation for his services in such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7.09 </w:t>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The Borrower will not, and will not permit any of its Restricted Subsidiaries to, directly or indirectly, enter into, incur or permit to exist any agreement or other arrangement that prohibits, restricts or imposes any condition upon (1) the ability of the Borrower or any Restricted Subsidiary to create, incur or permit to exist any Lien upon any of its property or assets to secure this Agreement or any refinancing or replacement of this Agreement, or (2) the ability of any Restricted Subsidiary to pay dividends or other distributions with respect to any shares of its Capital Stock or to make or repay loans or advances to the Borrower or any other Restricted Subsidiary or to Guarantee Indebtedness of the Borrower or any other Restricted Subsidiary;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restrictions and conditions imposed by law or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restrictions and conditions existing on the Sixth Restatement Effective Date identified on Schedule 7.09 (but shall apply to any extension or renewal of, or any amendment or modification expanding the scope of, any such restriction or condition);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restrictions imposed by the Senior Notes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customary restrictions and conditions contained in agreements relating to the sale of a Restricted Subsidiary pending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the Restricted Subsidiary that is to be sold and such sale is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clause (1) above) (i) restrictions or conditions imposed by any agreement relating to secured Indebtedness permitted by this Agreement if such restrictions or conditions apply only to the property or assets securing such Indebtedness and (ii) customary provisions in leases and other contracts restricting the assignment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restrictions or conditions imposed by any agreement relating to Indebtedness of any Foreign Subsidiary permitted by this Agreement if such restrictions or conditions apply only to the assets of the applicable Foreign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restrictions or conditions binding on a Restricted Subsidiary at the time such Restricted Subsidiary first becomes a Restricted Subsidiary pursuant to a transaction permitted by this Agreement, so long as such restrictions were not entered into solely in contemplation of such Person becoming a Restricted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customary restrictions in any third-party financing agreement with respect to Incremental Equivalent Debt to the extent such restrictions are not materially more restrictive, taken as a whole, than the restrictions contained in this Agreement (as determined in good faith by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Swap Agreements</w:t>
      </w:r>
      <w:r>
        <w:rPr>
          <w:rFonts w:ascii="Times New Roman;Times;Serif" w:hAnsi="Times New Roman;Times;Serif"/>
          <w:b w:val="false"/>
          <w:i w:val="false"/>
          <w:caps w:val="false"/>
          <w:smallCaps w:val="false"/>
          <w:sz w:val="20"/>
        </w:rPr>
        <w:t>. The Borrower will not, and will not permit any of its Restricted Subsidiaries to, enter into any Swap Agreement, other than Swap Agreements entered into in the ordinary course of business to hedge or mitigate risks to which the Borrower or any Restricted Subsidiary is exposed in the conduct of its business or the management of its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7.11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Leverage Ratio</w:t>
      </w:r>
      <w:r>
        <w:rPr>
          <w:rFonts w:ascii="Times New Roman;Times;Serif" w:hAnsi="Times New Roman;Times;Serif"/>
          <w:b w:val="false"/>
          <w:i w:val="false"/>
          <w:caps w:val="false"/>
          <w:smallCaps w:val="false"/>
          <w:sz w:val="20"/>
        </w:rPr>
        <w:t>. The Borrower will not permit the Consolidated Leverage Ratio as at the last day of any period of four consecutive fiscal quarters of the Borrower (any such period, a “</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to exceed 5.50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Consolidated Senior Secured Leverage Ratio</w:t>
      </w:r>
      <w:r>
        <w:rPr>
          <w:rFonts w:ascii="Times New Roman;Times;Serif" w:hAnsi="Times New Roman;Times;Serif"/>
          <w:b w:val="false"/>
          <w:i w:val="false"/>
          <w:caps w:val="false"/>
          <w:smallCaps w:val="false"/>
          <w:sz w:val="20"/>
        </w:rPr>
        <w:t>. The Borrower will not permit the Consolidated Senior Secured Leverage Ratio as at the last day of any Test Period to exceed 3.50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Consolidated Interest Coverage Ratio</w:t>
      </w:r>
      <w:r>
        <w:rPr>
          <w:rFonts w:ascii="Times New Roman;Times;Serif" w:hAnsi="Times New Roman;Times;Serif"/>
          <w:b w:val="false"/>
          <w:i w:val="false"/>
          <w:caps w:val="false"/>
          <w:smallCaps w:val="false"/>
          <w:sz w:val="20"/>
        </w:rPr>
        <w:t>. The Borrower will not permit the Consolidated Interest Coverage Ratio for any Test Period to be less than 2.00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7.13 </w:t>
      </w:r>
      <w:r>
        <w:rPr>
          <w:rFonts w:ascii="Times New Roman;Times;Serif" w:hAnsi="Times New Roman;Times;Serif"/>
          <w:b w:val="false"/>
          <w:i w:val="false"/>
          <w:caps w:val="false"/>
          <w:smallCaps w:val="false"/>
          <w:sz w:val="20"/>
          <w:u w:val="single"/>
        </w:rPr>
        <w:t>Stock Issuance</w:t>
      </w:r>
      <w:r>
        <w:rPr>
          <w:rFonts w:ascii="Times New Roman;Times;Serif" w:hAnsi="Times New Roman;Times;Serif"/>
          <w:b w:val="false"/>
          <w:i w:val="false"/>
          <w:caps w:val="false"/>
          <w:smallCaps w:val="false"/>
          <w:sz w:val="20"/>
        </w:rPr>
        <w:t xml:space="preserve">. The Borrower will not permit any of its Restricted Subsidiaries to, issue any additional shares, or any right or option to acquire any shares or any security convertible into any shares, of the Capital Stock of any Restricted Subsidiary, except (a) in connection with dividends in Capital Stock permitted by Section 7.07(a), (b) under a Borrower Equity Plan permitted by Section 7.07(e) and (c) to the Borrower or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Restricted Subsidiary be permitted to issue any Disqualified Stock. Notwithstanding the foregoing, nothing in this Section 7.13 shall prohibit the Borrower from issuing additional Capital Stock (other than Disqualified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7.14 </w:t>
      </w:r>
      <w:r>
        <w:rPr>
          <w:rFonts w:ascii="Times New Roman;Times;Serif" w:hAnsi="Times New Roman;Times;Serif"/>
          <w:b w:val="false"/>
          <w:i w:val="false"/>
          <w:caps w:val="false"/>
          <w:smallCaps w:val="false"/>
          <w:sz w:val="20"/>
          <w:u w:val="single"/>
        </w:rPr>
        <w:t>Modifications of Certain Documents</w:t>
      </w:r>
      <w:r>
        <w:rPr>
          <w:rFonts w:ascii="Times New Roman;Times;Serif" w:hAnsi="Times New Roman;Times;Serif"/>
          <w:b w:val="false"/>
          <w:i w:val="false"/>
          <w:caps w:val="false"/>
          <w:smallCaps w:val="false"/>
          <w:sz w:val="20"/>
        </w:rPr>
        <w:t>. The Borrower will not, and will not permit any of its Restricted Subsidiaries to, consent to any modification, amendment, supplement or waiver of any of the provisions of the charter, by-laws or other organizational documents of the Borrower or any of its Restricted Subsidiaries or any other agreement or instrument to which the Borrower or any of its Restricted Subsidiaries is a party or is bound that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reasonably be expected to have a Material Adverse Effect, in each case, without the prior consent of the Administrative Agent (with the approval of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Borrower will not, and will not permit any of its Restricted Subsidiaries to, request any Loan or Letter of Credit, and the Borrower shall not use, and shall procure that its Restricted Subsidiaries and its or their respective directors, officers, employees and agents shall not use, lend, contribute or otherwise make available to any Subsidiary, joint venture partner or other Person,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transactions would be prohibited by Sanctions, or (c) in any manner that would result in the violation of any Sanctions by any Person (including any Person participating in the Loans, whether as administrative agent, arranger, issuing bank, lender, underwriter, advisor, investor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7.16 </w:t>
      </w:r>
      <w:r>
        <w:rPr>
          <w:rFonts w:ascii="Times New Roman;Times;Serif" w:hAnsi="Times New Roman;Times;Serif"/>
          <w:b w:val="false"/>
          <w:i w:val="false"/>
          <w:caps w:val="false"/>
          <w:smallCaps w:val="false"/>
          <w:sz w:val="20"/>
          <w:u w:val="single"/>
        </w:rPr>
        <w:t>Designation of Unrestricted and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not, and will not permit any of its Restricted Subsidiaries to, designate any Subsidiary (including any existing Subsidiary and any newly acquired or newly formed Subsidiary) as an Unrestricted Subsidiary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has occurred and is continuing or would result from such designation;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Investments in such Unrestricted Subsidiary at the time of designation (as contemplated by the immediately following sentence) are permitted in accordance with the relevant requirements of Section 7.06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any Subsidiary as an Unrestricted Subsidiary (other than the designation of the Designated Entities as Unrestricted Subsidiaries on the Sixth Restatement Effective Date, which designation shall be permitted without utilization of any Investment capacity on the Sixth Restatement Effective Date (provided that, for the avoidance of doubt, any subsequent Investment in the Designated Entities shall only be permitted to the extent made in accordance with Section 7.06)) shall constitute an Investment by the Borrower (or its Restricted Subsidiaries) therein at the date of designation in an amount equal to the fair market value of Borrower’s (or its Restricted Subsidiaries’) Investments therein, which shall be permitted on such date in accordance with Section 7.06 (and not as an Investment permitted thereby in a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Sixth Restatement Effective Date, each of New Ames Equity Sub, LLC (“</w:t>
      </w:r>
      <w:r>
        <w:rPr>
          <w:rFonts w:ascii="Times New Roman;Times;Serif" w:hAnsi="Times New Roman;Times;Serif"/>
          <w:b w:val="false"/>
          <w:i w:val="false"/>
          <w:caps w:val="false"/>
          <w:smallCaps w:val="false"/>
          <w:sz w:val="20"/>
          <w:u w:val="single"/>
        </w:rPr>
        <w:t>New Ames</w:t>
      </w:r>
      <w:r>
        <w:rPr>
          <w:rFonts w:ascii="Times New Roman;Times;Serif" w:hAnsi="Times New Roman;Times;Serif"/>
          <w:b w:val="false"/>
          <w:i w:val="false"/>
          <w:caps w:val="false"/>
          <w:smallCaps w:val="false"/>
          <w:sz w:val="20"/>
        </w:rPr>
        <w:t>”) and Griffon 2L Loan Holdco, LLC (“</w:t>
      </w:r>
      <w:r>
        <w:rPr>
          <w:rFonts w:ascii="Times New Roman;Times;Serif" w:hAnsi="Times New Roman;Times;Serif"/>
          <w:b w:val="false"/>
          <w:i w:val="false"/>
          <w:caps w:val="false"/>
          <w:smallCaps w:val="false"/>
          <w:sz w:val="20"/>
          <w:u w:val="single"/>
        </w:rPr>
        <w:t>Griffon 2L Holdco</w:t>
      </w:r>
      <w:r>
        <w:rPr>
          <w:rFonts w:ascii="Times New Roman;Times;Serif" w:hAnsi="Times New Roman;Times;Serif"/>
          <w:b w:val="false"/>
          <w:i w:val="false"/>
          <w:caps w:val="false"/>
          <w:smallCaps w:val="false"/>
          <w:sz w:val="20"/>
        </w:rPr>
        <w:t>” and, together with New Ames, the “</w:t>
      </w:r>
      <w:r>
        <w:rPr>
          <w:rFonts w:ascii="Times New Roman;Times;Serif" w:hAnsi="Times New Roman;Times;Serif"/>
          <w:b w:val="false"/>
          <w:i w:val="false"/>
          <w:caps w:val="false"/>
          <w:smallCaps w:val="false"/>
          <w:sz w:val="20"/>
          <w:u w:val="single"/>
        </w:rPr>
        <w:t>Designated Entities</w:t>
      </w:r>
      <w:r>
        <w:rPr>
          <w:rFonts w:ascii="Times New Roman;Times;Serif" w:hAnsi="Times New Roman;Times;Serif"/>
          <w:b w:val="false"/>
          <w:i w:val="false"/>
          <w:caps w:val="false"/>
          <w:smallCaps w:val="false"/>
          <w:sz w:val="20"/>
        </w:rPr>
        <w:t>”) shall be designated as Unrestricted Subsidiaries under this Agreement. On the Sixth Restatement Effective Date, all Liens on the Capital Stock issued by the Designated Entities securing the Obligations shall automatically be released without further requirement or action by any Person, and the Capital Stock of each Designated Entity shall not constitute Collateral under the Loan Documents so long as such Designated Entity is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and will not permit any of its Restricted Subsidiaries to, designate any Unrestricted Subsidiary to be a Restricted Subsidiary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has occurred and is continuing or would result from such designation or redesignation;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could incur at least $1.00 of additional Indebtedness pursuant to Section 7.01(a)(xxi)(A) hereof.</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any Unrestricted Subsidiary as a Restricted Subsidiary on or after the Sixth Restatement Effective Date shall constitute the incurrence at the time of designation of any Investment, Indebtedness or Liens of such Subsidiary existing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EVENTS OF DEFAULT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Any of the following events shall constitute an event of default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(including providing any cash collateral or backstop arrangement required pursuant to Section 2.04(l)) when and as the same shall become due and payable in accordance with the terms hereof, whether at the due date thereof or at a date fixed for prepayment thereof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pay any reimbursement obligation in respect of any LC Disbursement or any interest on any Loan or any fee or any other amount (other than an amount referred to in paragraph (a) of this Article) payable under this Agreement or under any other Loan Document, when and as the same shall become due and payable in accordance with the terms hereof, and such failure shall continue unremedied for a period of five or more Business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false or misleading when made or deemed made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the Borrower shall fail to observe or perform any covenant, condition or agreement contained in Section 6.02 or 6.03 (with respect to the Borrower’s existence) or in Article VII, provided that a breach of Section 7.11 shall not constitute an Event of Default with respect to any Term Loans (unless the Borrower shall agree that such Term Loans shall have the benefit of the financial covenants set forth in Section 7.11 in the documentation in respect thereof) unless and until the Required Financial Covenant Lenders (or the Administrative Agent on their behalf) have declared all amounts outstanding under the Revolving Facility and/or the applicable Term Loan Facility to be due and payable and all outstanding Revolving Commitments under the Revolving Facility to be terminated, in each case in accordance with this Agreement as a result of such breach, and such declaration has not been rescinded (any such Event of Default with respect to Section 7.11, a “</w:t>
      </w:r>
      <w:r>
        <w:rPr>
          <w:rFonts w:ascii="Times New Roman;Times;Serif" w:hAnsi="Times New Roman;Times;Serif"/>
          <w:b w:val="false"/>
          <w:i w:val="false"/>
          <w:caps w:val="false"/>
          <w:smallCaps w:val="false"/>
          <w:sz w:val="20"/>
          <w:u w:val="single"/>
        </w:rPr>
        <w:t>Financial Covenant Event of Default</w:t>
      </w:r>
      <w:r>
        <w:rPr>
          <w:rFonts w:ascii="Times New Roman;Times;Serif" w:hAnsi="Times New Roman;Times;Serif"/>
          <w:b w:val="false"/>
          <w:i w:val="false"/>
          <w:caps w:val="false"/>
          <w:smallCaps w:val="false"/>
          <w:sz w:val="20"/>
        </w:rPr>
        <w:t>”), or (ii) the Borrower shall default in the performance of any of its obligations contained in Sections 5.4 and 5.6(b) of the Guarantee and Collateral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or any other Loan Party shall fail to observe or perform any covenant, condition or agreement contained in this Agreement (other than those specified in paragraph (a), (b) or (d) of this Article) or any other Loan Document and such failure shall continue unremedied for a period of 30 or more days after notice thereof from the Administrative Agent (given at the request of any Lender) to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or any other Group Member shall fail to make any payment (whether of principal or interest and regardless of amount) in respect of any Material Indebtedness, when and as the same shall become due and payable, and such failure shall continue unremedied for a period (except in the case of principal, beyond any applicable grace period) of five or more Business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-89-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Material Indebtedness to become due, or to require the prepayment, repurchase, redemption or defeasance thereof, prior to its scheduled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paragraph (g) shall not apply to secured Indebtedness that becomes due as a result of the voluntary sale or transfer of the property or assets securing such Indebtedness or, for the avoidance of doubt, to any asset sale offer under the Senior Notes Indenture;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reorganization or other relief in respect of the Borrower or any other Group Member having assets in excess of $40,000,000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such Subsidiary or for a substantial part of its assets, and, in any such case, such proceeding or petition shall continue undismissed or undischarged for a period of 60 or more days or an order or decree approving or ordering any of the foregoing shall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any other Group Member having assets in excess of $40,000,000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Article, (iii) apply for or consent to the appointment of a receiver, trustee, custodian, sequestrator, conservator or similar official for it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or any other Group Member shall become unable, admit in writing its inability or fail generally to pay its debts as they become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judgments for the payment of money in an aggregate amount in excess of $30,000,000 shall be rendered against the Borrower or any other Group Member any combination thereof and the same shall remain undischarged for a period of 30 consecutive days during which execution shall not be effectively stayed or vacated or, in respect with such judgment, any action shall be legally taken by a judgment creditor to attach or levy upon any assets of the Borrower or any other Group Member to enforce any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 ERISA Event shall have occurred that, when taken together with all other ERISA Events that have occurred, could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of Control shall occur;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this Agreement or any guarantee contained in Section 2 of the Guarantee and Collateral Agreement shall for whatever reason cease to be in full force and effect or any Loan Party or any Affiliate of any Loan Party shall so assert;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Liens created by the Security Documents shall at any time not constitute a valid and perfected Lien (other than by reason of the express release thereof pursuant to Section 10.15) on the Collateral intended to be covered thereby (to the extent perfection by filing, registration, recordation or possession is required herein or therein), free and clear of all other Liens (other than Permitted Liens), or, except for expiration in accordance with its terms, any of the Security Documents shall for whatever reason be terminated or cease to be in full force and effect, or any Loan Party or any Affiliate of any Loan Party shall so assert, or the enforceability thereof shall be contested by any Loan Party or any Affiliate of any Loan Party;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8.02 </w:t>
      </w:r>
      <w:r>
        <w:rPr>
          <w:rFonts w:ascii="Times New Roman;Times;Serif" w:hAnsi="Times New Roman;Times;Serif"/>
          <w:b w:val="false"/>
          <w:i w:val="false"/>
          <w:caps w:val="false"/>
          <w:smallCaps w:val="false"/>
          <w:sz w:val="20"/>
          <w:u w:val="single"/>
        </w:rPr>
        <w:t>Remedies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Event of Default (other than any event described in Section 8.01(h) or (i) or a Financial Covenant Event of Default) occurs, and at any time thereafter during the continuance of such Event of Default,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all amounts of LC Obligations, whether or not the beneficiaries of the then outstanding Letters of Credit shall have presented the documents required thereunder), shall become due and payable immediately; and (iii) exercise on behalf of itself, the Lenders and the Issuing Lenders all rights and remedies available to it, the Lenders and the Issuing Lenders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case of any event described in Section 8.01(h) or (i), the Commitments shall automatically terminate and the principal of the Loans then outstanding, together with accrued interest thereon and all fees and other obligations of the Borrower accrued hereunder (including all amounts of LC Obligations, whether or not the beneficiaries of the then outstanding Letters of Credit shall have presented the documents required thereunder), shall automatically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Financial Covenant Event of Default occurs, and at any time thereafter during the continuance of such Event of Default, the Administrative Agent shall, at the request of, or may, with the consent of, the Required Financial Covenant Lenders, take any of the actions specified under </w:t>
      </w:r>
      <w:r>
        <w:rPr>
          <w:rFonts w:ascii="Times New Roman;Times;Serif" w:hAnsi="Times New Roman;Times;Serif"/>
          <w:b w:val="false"/>
          <w:i w:val="false"/>
          <w:caps w:val="false"/>
          <w:smallCaps w:val="false"/>
          <w:sz w:val="20"/>
          <w:u w:val="single"/>
        </w:rPr>
        <w:t>Sections 8.02(a)(i)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but solely with respect to the Financial Covenant Facilities (subject to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below), and for the avoidance of doubt, any waiver or modification of Section 7.11 shall require only the consent of the Required Financial Covenant Lenders, notwithstanding any other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Financial Covenant Event of Default shall have occurred and be continuing and the Required Financial Covenant Lenders (or the Administrative Agent on their behalf) have declared all amounts outstanding under the Financial Covenant Facilities to be due and payable and all outstanding Commitments under the Financial Covenant Facilities to be terminated, in each case in accordance with this Agreement as a result of such breach, and such declaration has not been rescinded, then the Administrative Agent shall, at the request of, or may, with the consent of, the Required Term Loan Lenders (i) declare the unpaid principal amount of all outstanding applicable Term Loans, all interest accrued and unpaid thereon, and all other amounts owing or payable hereunder or under any other Loan Document in each case to the applicable Lenders to be immediately due and payable, without presentment, demand, protest or other notice of any kind, all of which are hereby expressly waived by the Borrower and (ii) exercise, on behalf of itself and the applicable Term Lenders, all rights and remedies available to it and the applicable Term Lenders under the Loan Documents (subject to </w:t>
      </w:r>
      <w:r>
        <w:rPr>
          <w:rFonts w:ascii="Times New Roman;Times;Serif" w:hAnsi="Times New Roman;Times;Serif"/>
          <w:b w:val="false"/>
          <w:i w:val="false"/>
          <w:caps w:val="false"/>
          <w:smallCaps w:val="false"/>
          <w:sz w:val="20"/>
          <w:u w:val="single"/>
        </w:rPr>
        <w:t xml:space="preserve">Section 8.02(d) </w:t>
      </w:r>
      <w:r>
        <w:rPr>
          <w:rFonts w:ascii="Times New Roman;Times;Serif" w:hAnsi="Times New Roman;Times;Serif"/>
          <w:b w:val="false"/>
          <w:i w:val="false"/>
          <w:caps w:val="false"/>
          <w:smallCaps w:val="false"/>
          <w:sz w:val="20"/>
        </w:rPr>
        <w:t>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w:t>
      </w:r>
      <w:r>
        <w:rPr>
          <w:rFonts w:ascii="Times New Roman;Times;Serif" w:hAnsi="Times New Roman;Times;Serif"/>
          <w:b w:val="false"/>
          <w:i w:val="false"/>
          <w:caps w:val="false"/>
          <w:smallCaps w:val="false"/>
          <w:sz w:val="20"/>
          <w:u w:val="single"/>
        </w:rPr>
        <w:t>Sections 8.02(b)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if upon the occurrence and continuance of a Financial Covenant Event of Default, both (i) all amounts outstanding under the respective Financial Covenant Facilities have been declared due and payable, and all Commitments thereunder terminated, pursuant to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above and (ii) all amounts outstanding under the applicable Term Loan Facility have been declared due and payable pursuant to </w:t>
      </w:r>
      <w:r>
        <w:rPr>
          <w:rFonts w:ascii="Times New Roman;Times;Serif" w:hAnsi="Times New Roman;Times;Serif"/>
          <w:b w:val="false"/>
          <w:i w:val="false"/>
          <w:caps w:val="false"/>
          <w:smallCaps w:val="false"/>
          <w:sz w:val="20"/>
          <w:u w:val="single"/>
        </w:rPr>
        <w:t xml:space="preserve">Section 8.02(c) </w:t>
      </w:r>
      <w:r>
        <w:rPr>
          <w:rFonts w:ascii="Times New Roman;Times;Serif" w:hAnsi="Times New Roman;Times;Serif"/>
          <w:b w:val="false"/>
          <w:i w:val="false"/>
          <w:caps w:val="false"/>
          <w:smallCaps w:val="false"/>
          <w:sz w:val="20"/>
        </w:rPr>
        <w:t xml:space="preserve">above, then in such case the exercise of rights and remedies under the Loan Documents shall be conducted pursuant to </w:t>
      </w:r>
      <w:r>
        <w:rPr>
          <w:rFonts w:ascii="Times New Roman;Times;Serif" w:hAnsi="Times New Roman;Times;Serif"/>
          <w:b w:val="false"/>
          <w:i w:val="false"/>
          <w:caps w:val="false"/>
          <w:smallCaps w:val="false"/>
          <w:sz w:val="20"/>
          <w:u w:val="single"/>
        </w:rPr>
        <w:t>Section 8.02(a)(iii)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expressly provided above in this Section, presentment, demand, protest and all other notices of any kind are hereby expressly waived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and the Issuing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are solely for the benefit of the Administrative Agent, the Lenders and the Issuing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also act as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under the Loan Documents, and each of the Lenders (including in its capacities as a potential party to a Specified Swap Agreement and/or a Specified Cash Management Agreement) and the Issuing Lenders hereby irrevocably appoint and authorizes the Administrative Agent to act as the agent of such Lender and the Issuing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9.05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IX and Article X (including Section 10.03(c), as though such co-agents, sub-agents and attorneys-in-fact were the “collateral agent” under the Loan Documents) as if set forth in full herein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9.02 </w:t>
      </w:r>
      <w:r>
        <w:rPr>
          <w:rFonts w:ascii="Times New Roman;Times;Serif" w:hAnsi="Times New Roman;Times;Serif"/>
          <w:b w:val="false"/>
          <w:i w:val="false"/>
          <w:caps w:val="false"/>
          <w:smallCaps w:val="false"/>
          <w:sz w:val="20"/>
          <w:u w:val="single"/>
        </w:rPr>
        <w:t>Rights as a Lender</w:t>
      </w:r>
      <w:r>
        <w:rPr>
          <w:rFonts w:ascii="Times New Roman;Times;Serif" w:hAnsi="Times New Roman;Times;Serif"/>
          <w:b w:val="false"/>
          <w:i w:val="false"/>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the Administrative Agent nor any Arranger shall have any duties or obligations except those expressly set forth herein and in the other Loan Documents, and its duties hereunder shall be administrative in nature. Without limiting the generality of the foregoing, the Administrative Agent or any Arranger,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not be subject to any fiduciary or other implied duties, regardless of whether a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have any duty or responsibility to disclose, and shall not be liable for the failure to disclose, to any Lender or any Issuing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capacity, except for notices, reports and other documents expressly required to be furnished to the Lenders by the Administrative Agent under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10.02(b) and Article VIII) or (ii) in the absence of its own gross negligence or willful misconduct, as determined by a court of competent jurisdiction by a final and nonappealable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shall be deemed not to have knowledge of any Default unless and until notice describing such Default is given to the Administrative Agent by the Borrower, a Lender or an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Article V or elsewhere herein, other than to confirm receipt of items expressly required to be delivered to the Administrative Agent or (vii) compliance by Affiliated Lenders with the terms hereof relating to Affiliated Lenders;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shall not be responsible or have any liability for, or have any duty to ascertain, inquire into, monitor or enforce, compliance with the provisions of this Agreement relating to Disqualified Institutions or Affiliated Lenders. Without limiting the generality of the foregoing, the Administrative Agent shall not ‎(x) be obligated to ascertain, monitor or inquire as to whether any Lender or Participant or prospective Lender or Participant is a Disqualified ‎Institution or Affiliated Lender or (y) have any liability with respect to or arising out of any assignment or participation of Loans, or disclosure of confidential information, to any ‎Disqualified Institution or Affiliated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9.05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IX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9.06 </w:t>
      </w:r>
      <w:r>
        <w:rPr>
          <w:rFonts w:ascii="Times New Roman;Times;Serif" w:hAnsi="Times New Roman;Times;Serif"/>
          <w:b w:val="false"/>
          <w:i w:val="false"/>
          <w:caps w:val="false"/>
          <w:smallCaps w:val="false"/>
          <w:sz w:val="20"/>
          <w:u w:val="single"/>
        </w:rPr>
        <w:t>Resignation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or Disqualified Institution. Whether or not a successor has been appointed, such resignation shall become effective in accordance with such notice on the Resignation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or (e)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2.17(f)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9.06).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IX and Section 10.03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9.07 </w:t>
      </w:r>
      <w:r>
        <w:rPr>
          <w:rFonts w:ascii="Times New Roman;Times;Serif" w:hAnsi="Times New Roman;Times;Serif"/>
          <w:b w:val="false"/>
          <w:i w:val="false"/>
          <w:caps w:val="false"/>
          <w:smallCaps w:val="false"/>
          <w:sz w:val="20"/>
          <w:u w:val="single"/>
        </w:rPr>
        <w:t>Non-Reliance on the Administrative Agent, the Arrangers and the Other Lenders</w:t>
      </w:r>
      <w:r>
        <w:rPr>
          <w:rFonts w:ascii="Times New Roman;Times;Serif" w:hAnsi="Times New Roman;Times;Serif"/>
          <w:b w:val="false"/>
          <w:i w:val="false"/>
          <w:caps w:val="false"/>
          <w:smallCaps w:val="false"/>
          <w:sz w:val="20"/>
        </w:rPr>
        <w:t>. Each Lender and each Issuing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Issuing Lender as to any matter, including whether the Administrative Agent or any Arranger have disclosed material information in their (or their Related Parties’) possession. Each Lender and each Issuing Lender</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Lender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Lender represents and warrants that (i) the Loan Documents set forth the terms of a commercial lending facility and (ii) it is engaged in making, acquiring or holding commercial loans in the ordinary course and is entering into this Agreement as a Lender or Issuing Lender for the purpose of making, acquiring or holding commercial loans and providing other facilities set forth herein as may be applicable to such Lender or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9.08 </w:t>
      </w:r>
      <w:r>
        <w:rPr>
          <w:rFonts w:ascii="Times New Roman;Times;Serif" w:hAnsi="Times New Roman;Times;Serif"/>
          <w:b w:val="false"/>
          <w:i w:val="false"/>
          <w:caps w:val="false"/>
          <w:smallCaps w:val="false"/>
          <w:sz w:val="20"/>
          <w:u w:val="single"/>
        </w:rPr>
        <w:t>No Other Duties, Etc.</w:t>
      </w:r>
      <w:r>
        <w:rPr>
          <w:rFonts w:ascii="Times New Roman;Times;Serif" w:hAnsi="Times New Roman;Times;Serif"/>
          <w:b w:val="false"/>
          <w:i w:val="false"/>
          <w:caps w:val="false"/>
          <w:smallCaps w:val="false"/>
          <w:sz w:val="20"/>
        </w:rPr>
        <w:t xml:space="preserve"> Anything herein to the contrary notwithstanding, none of the Bookrunners, Arrangers, Co-Syndication Agents or Co-Documentation Agents listed on the cover page hereof shall have any powers, duties or responsibilities under this Agreement or any of the other Loan Documents, except in its capacity, as applicable, as the Administrative Agent, a Lender or an Issuing Lender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9.09 </w:t>
      </w:r>
      <w:r>
        <w:rPr>
          <w:rFonts w:ascii="Times New Roman;Times;Serif" w:hAnsi="Times New Roman;Times;Serif"/>
          <w:b w:val="false"/>
          <w:i w:val="false"/>
          <w:caps w:val="false"/>
          <w:smallCaps w:val="false"/>
          <w:sz w:val="20"/>
          <w:u w:val="single"/>
        </w:rPr>
        <w:t>Administrative Agent May File Proofs of Claim; Credit Bidding</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Sections 2.12 and 10.03)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and each Issuing Lender to make such payments to the Administrative Agent and, if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Sections 2.12 and 10.03.</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or to authorize the Administrative Agent to vote in respect of the claim of any Lender or any Issuing Lender or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Capital Stock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Capital Stock thereof, shall be governed, directly or indirectly, by the vote of the Required Lenders, irrespective of the termination of this Agreement and without giving effect to the limitations on actions by the Required Lenders contained in clauses (i) through (vii) of Section 10.02(b)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Capital Stock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Certain ERISA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any Applicable Law, the Administrative Agent may withhold from any payment to any Lender an amount equal to any applicable withholding Tax. If the Internal Revenue Service or any other governmental authority asserts a claim that the Administrative Agent did not properly withhold Tax from any amounts paid to or for the account of any Lender for any reason (including because the appropriate form was not delivered or was not properly executed or because such Lender failed to notify the Administrative Agent of a change in circumstance which rendered the exemption from, or reduction of, withholding Tax ineffective), such Lender shall indemnify the Administrative Agent fully, within 10 days after demand therefor, for all amounts paid, directly or indirectly, by the Administrative Agent as Tax or otherwise,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clause. For the avoidance of doubt, the term “Lender” shall, for purposes of this clause, include any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telecopy (i) if to the Borrower, the Administrative Agent or any Issuing Lender, as set forth in Schedule 10.01 and (ii) if to any other Lender, to it at its address (or telecopy number) set forth in its Administrative Questionnaire.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 xml:space="preserve">. Notices and other communications to the Lenders hereunder may be delivered or furnished by electronic communications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Article II unless otherwise agreed by the Administrative Agent and the applicable Lender. The Administrative Agent or the Borrower may, in its discretion,</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The Platform</w:t>
      </w:r>
      <w:r>
        <w:rPr>
          <w:rFonts w:ascii="Times New Roman;Times;Serif" w:hAnsi="Times New Roman;Times;Serif"/>
          <w:b w:val="false"/>
          <w:i w:val="false"/>
          <w:caps w:val="false"/>
          <w:smallCaps w:val="false"/>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have any liability to the Borrower, any Lender, any Issuing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of Address, Etc</w:t>
      </w:r>
      <w:r>
        <w:rPr>
          <w:rFonts w:ascii="Times New Roman;Times;Serif" w:hAnsi="Times New Roman;Times;Serif"/>
          <w:b w:val="false"/>
          <w:i w:val="false"/>
          <w:caps w:val="false"/>
          <w:smallCaps w:val="false"/>
          <w:sz w:val="20"/>
        </w:rPr>
        <w:t>. 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Reliance by Administrative Agent, Issuing Lenders and Lenders</w:t>
      </w:r>
      <w:r>
        <w:rPr>
          <w:rFonts w:ascii="Times New Roman;Times;Serif" w:hAnsi="Times New Roman;Times;Serif"/>
          <w:b w:val="false"/>
          <w:i w:val="false"/>
          <w:caps w:val="false"/>
          <w:smallCaps w:val="false"/>
          <w:sz w:val="20"/>
        </w:rPr>
        <w:t>. The Administrative Agent, the Issuing Lenders and the Lenders shall be entitled to rely and act upon any notices (including telephonic notices, Borrowing Requests, Interest Election Requests and Letter of Credit Applications) given by a Responsible Officer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Issuing Lender, each Lender and the Related Parties of each of them from all losses, costs, expenses and liabilities resulting from the reliance by such Person on each notice purportedly given by or on behalf of the Borrower, except to the extent such losses, costs, expenses and liabilities are determined by a court of competent jurisdiction by final and non-appealable judgment to have resulted from the gross negligence or willful misconduct of such Indemnitee.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Waivers; Enforcement;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Deemed Waivers; Remedies Cumulative</w:t>
      </w:r>
      <w:r>
        <w:rPr>
          <w:rFonts w:ascii="Times New Roman;Times;Serif" w:hAnsi="Times New Roman;Times;Serif"/>
          <w:b w:val="false"/>
          <w:i w:val="false"/>
          <w:caps w:val="false"/>
          <w:smallCaps w:val="false"/>
          <w:sz w:val="20"/>
        </w:rPr>
        <w:t>. No failure or delay by the Administrative Agent, any Issuing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Lender may have had notice or knowledge of such Default at the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VIII for the benefit of all the Lenders and the Issuing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shall not prohibit (a) the</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from exercising on its own behalf the rights and remedies that inure to its benefit (solely in its capacity as Administrative Agent) hereunder and under the other Loan Documents, (b) any Issuing Lender or from exercising the rights and remedies that inure to its benefit (solely in its capacity as Issuing Lender) hereunder and under the other Loan Documents, (c) any Lender from exercising setoff rights in accordance with Section 10.08 (subject to the terms of Section 2.18), or (d) any Lender from filing proofs of claim or appearing and filing pleadings on its own behalf during the pendency of a proceeding relative to any Loan Party under any Debtor Relief Law;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at any time there is no Person acting as Administrative Agent hereunder and under the other Loan Documents, then (i) the Required Lenders shall have the rights otherwise ascribed to the Administrative Agent pursuant to Article VIII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z w:val="20"/>
          <w:u w:val="single"/>
        </w:rPr>
        <w:t xml:space="preserve"> Amendments</w:t>
      </w:r>
      <w:r>
        <w:rPr>
          <w:rFonts w:ascii="Times New Roman;Times;Serif" w:hAnsi="Times New Roman;Times;Serif"/>
          <w:b w:val="false"/>
          <w:i w:val="false"/>
          <w:caps w:val="false"/>
          <w:smallCaps w:val="false"/>
          <w:sz w:val="20"/>
        </w:rPr>
        <w:t xml:space="preserve">. Neither this Agreement nor any provision hereof may be waived, amended or modified except pursuant to an agreement or agreements in writing entered into by the Borrower and the Required Lenders (and acknowledged by the Administrative Agent) or by the Borrower and the Administrative Agent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Commitment of any Lender without the written consent of such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any Loan or LC Disbursement or reduce the rate of interest thereon, or reduce any fees payable hereunder, without the written consent of each Lender adversely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adversely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change Section 2.18(b), (c) or (d) in a manner that would alter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sharing of payments required thereby, without the written consent of each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change any of the provisions of this Section or the definition of the term “Required Lenders” or “Required Class Lenders” or any other provision hereof specifying the number or percentage of Lenders required to waive, amend or modify any rights hereunder or make any determination or grant any consent hereunder, without the written consent of each Lender (provided that (x) any change to the definition of “Required Revolving Lenders” shall only require the written consent of each Revolving Lender, (y) any change to the definition of “Required Term Loan Lenders” shall only require the written consent of each Term Lender and (z) any change to the definition of “Required Financial Covenant Lenders” shall only require the written consent of each Lender with Total Credit Exposure under the Financial Covenant Facilities);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release all or substantially all of the Subsidiary Guarantors from their guarantee obligations under the Guarantee and Collateral Agreement or all or substantially all of the Collateral, in each case without the written consent of each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add any Foreign Currency (other than English Pounds Sterling or euro) to the Currencies available under the Aggregate Foreign Currency Sublimit Dollar Amount without the written consent of each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Section 1.06 or the definition of “Alternative Currency”, “Alternative Currency Daily Rate” or “Alternative Currency Term Rate” without the written consent of each Lender directly affected thereby;</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-99-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waive any condition set forth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as to any credit extension under a particular Facility without the written consent of only the Required Revolving Lenders or the Required Term Loan Lenders,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change the order of application of any reduction in the Commitments or any prepayment of Loans among the Facilities from the application thereof set forth in the applicable provisions of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in any manner that materially and adversely affects the Lenders under a Facility without the written consent of only (i) if such Facility is a Term Loan Facility, the Required Term Loan Lenders and (y) if such Facility is the Revolving Facility, the Required Revolving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amend, waive or modify any term or provision that directly affects the rights of Lenders holding Commitments or Loans of one Class and does not directly affect the rights or duties of the Lenders under any other Class, in each case, without the written consent of only the applicable Required Class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subordinate the Obligations hereunder to any other Indebtedness or other obligation without the prior written consent of each Lender directly affected thereby;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subordinate the Liens securing the Obligations to Liens securing any other Indebtedness or other obligation without the prior written consent of each Lender directly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agreement shall amend, modify or otherwise affect the rights or duties of the Administrative Agent or any Issuing Lender hereunder without the prior written consent of the Administrative Agent or such Issuing Lender,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amendment, waiver or other modification of this Agreement or any other Loan Document that by its terms directly affects the rights or duties of the Lenders of a particular Class (but not the Lenders of any other Class) may be effected by an agreement or agreements in writing entered into by the Borrower and the requisite number or percentage in interest of the affected Class of Lenders that would be required to consent thereto under this Section 10.02(b) if such Class of Lenders were the only Class of Lenders hereunder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Section with respect to this Agreement, the Administrative Agent may, with the prior consent of the Required Lenders (but not otherwise), consent to any modification, supplement or waiver under any of the Security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except that no such consent shall be required, and the Administrative Agent is authorized in accordance with Section 10.15, to release any Lien covering property, (i) under the circumstances described in Section 10.15(b) or (ii) that is the subject of either a disposition of property permitted hereunder or a disposition to which the Required Lenders have consented.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herein to the contrary, this Agreement may be amended with the written consent of the Administrative Agent, the Borrower and the Lenders affected thereby to amend the definition of “Alternative Currency”, “Alternative Currency Daily Rate” or “Alternative Currency Term Rate” or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solely to add additional currency options and the applicable interest rate with respect thereto, in each case solely to the extent permitted pursuant to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this Agreement may be amended, with the written consent of the Administrative Agent, the Borrower and the Lenders providing the relevant Replacement Term Facility (as defined below) to permit the refinancing, replacement or modification of all or any portion of any Term Loan Facility (a “</w:t>
      </w:r>
      <w:r>
        <w:rPr>
          <w:rFonts w:ascii="Times New Roman;Times;Serif" w:hAnsi="Times New Roman;Times;Serif"/>
          <w:b w:val="false"/>
          <w:i w:val="false"/>
          <w:caps w:val="false"/>
          <w:smallCaps w:val="false"/>
          <w:sz w:val="20"/>
          <w:u w:val="single"/>
        </w:rPr>
        <w:t>Replaced Term Facility</w:t>
      </w:r>
      <w:r>
        <w:rPr>
          <w:rFonts w:ascii="Times New Roman;Times;Serif" w:hAnsi="Times New Roman;Times;Serif"/>
          <w:b w:val="false"/>
          <w:i w:val="false"/>
          <w:caps w:val="false"/>
          <w:smallCaps w:val="false"/>
          <w:sz w:val="20"/>
        </w:rPr>
        <w:t>”) with a replacement term loan facility hereunder (a “</w:t>
      </w:r>
      <w:r>
        <w:rPr>
          <w:rFonts w:ascii="Times New Roman;Times;Serif" w:hAnsi="Times New Roman;Times;Serif"/>
          <w:b w:val="false"/>
          <w:i w:val="false"/>
          <w:caps w:val="false"/>
          <w:smallCaps w:val="false"/>
          <w:sz w:val="20"/>
          <w:u w:val="single"/>
        </w:rPr>
        <w:t>Replacement Term Facility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aggregate amount of such Replacement Term Facility shall not exceed the aggregate amount of such Replaced Term Facility, (b) the maturity date of such Replacement Term Facility shall be no earlier than the maturity date of the Replaced Term Facility and (c) the terms of any such Replacement Term Facility are (excluding pricing,</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fees, rate floors and optional prepayment or redemption terms), taken as a whole, no more favorable to the lenders providing such Replacement Term Facility than those applicable to the Replaced Term Facility (other than any covenants or other provisions applicable only to periods after the latest maturity date in respect of any Commitments and Loans then outstanding (prior to effectiveness of such Replacement Term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at no time shall there be Term Loans hereunder (including Extended Term Loans and any loans under any Replacement Term Facility) that have more than two different 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this Agreement may be amended, with the written consent of the Administrative Agent, the Borrower and the Lenders providing the relevant Replacement Revolving Facility (as defined below), as applicable, to permit the refinancing, replacement or modification of all or any portion of any tranche of Commitments and the extensions of credit made thereunder (a “</w:t>
      </w:r>
      <w:r>
        <w:rPr>
          <w:rFonts w:ascii="Times New Roman;Times;Serif" w:hAnsi="Times New Roman;Times;Serif"/>
          <w:b w:val="false"/>
          <w:i w:val="false"/>
          <w:caps w:val="false"/>
          <w:smallCaps w:val="false"/>
          <w:sz w:val="20"/>
          <w:u w:val="single"/>
        </w:rPr>
        <w:t>Replaced Revolving Facility</w:t>
      </w:r>
      <w:r>
        <w:rPr>
          <w:rFonts w:ascii="Times New Roman;Times;Serif" w:hAnsi="Times New Roman;Times;Serif"/>
          <w:b w:val="false"/>
          <w:i w:val="false"/>
          <w:caps w:val="false"/>
          <w:smallCaps w:val="false"/>
          <w:sz w:val="20"/>
        </w:rPr>
        <w:t>”) with a replacement revolving facility hereunder (a “</w:t>
      </w:r>
      <w:r>
        <w:rPr>
          <w:rFonts w:ascii="Times New Roman;Times;Serif" w:hAnsi="Times New Roman;Times;Serif"/>
          <w:b w:val="false"/>
          <w:i w:val="false"/>
          <w:caps w:val="false"/>
          <w:smallCaps w:val="false"/>
          <w:sz w:val="20"/>
          <w:u w:val="single"/>
        </w:rPr>
        <w:t>Replacement Revolving Facility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aggregate amount of such Replacement Revolving Facility shall not exceed the aggregate amount of such Replaced Revolving Facility, (b) the termination date of such Replacement Revolving Facility shall be no earlier than the termination date of the Replaced Revolving Facility and (c) the terms of any such Replacement Revolving Facility are (excluding pricing, fees, rate floors and optional prepayment or redemption terms), taken as a whole, no more favorable to the lenders providing such Replacement Revolving Facility than those applicable to the Replaced Revolving Facility (other than any covenants or other provisions applicable only to periods after the latest termination date in respect of any Commitments and Loans then outstanding (prior to effectiveness of such Replacement Revolving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(x) subject to the provisions of Section 2.04(l) to the extent dealing with Letters of Credit which mature or expire after the termination date when a Replacement Revolving Facility with a later termination date exists, all Letters of Credit shall be participated in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by all lenders with Commitments hereunder (including, for avoidance of doubt, lenders with Commitments under any Replacement Revolving Facility) and, except as provided in Section 2.04(l), without giving effect to changes thereto on an earlier termination date with respect to Letters of Credit theretofore incurred or issued, and all borrowings in respect of any Commitments outstanding hereunder (including borrowings in respect of any Commitments outstanding under any Replacement Revolving Facility) and repayments thereof shall be made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(except for (A) payments of interest and fees at different rates on the Commitments under the Replacement Revolving Facility (and related outstandings), (B) repayments required upon the voluntary termination or reduction of any tranche of Commitments by the Borrower in accordance with Section 2.09(b) and (C) repayments required upon the termination date of the non-replaced Commitments) and (y) at no time shall there be Commitments hereunder (including Extended Revolving Commitments, any Commitments under any Replacement Revolving Facility and any original Revolving Commitments) that have more than two different termination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 shall pay (i) all reasonable out-of-pocket expenses incurred by the Administrative Agent and its Affiliates, including the reasonable fees, charges and disbursements of one counsel for the Administrative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documented out-of-pocket expenses incurred by any Issuing Lender in connection with the issuance, amendment, renewal or extension of any Letter of Credit or any demand for payment thereunder, including the reasonable fees, charges and expenses of one counsel for such Issuing Lender, (iii) all out-of-pocket expenses incurred by the Administrative Agent, any Issuing Lender or any Lender, including the fees, charges and disbursements of any counsel for the Administrative Agent, any Issuing Lender or any Lender, in connection with the enforcement or protection of its rights in connection with this Agreement and the other Loan Documents, including its rights under this Section, or in connection with the Loans made or Letters of Credit issued hereunder, including all</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out-of-pocket expenses incurred during any workout, restructuring or negotiations in respect thereof and (iv) all reasonable costs, expenses, taxes, assessments and other charges incurred in connection with any filing, registration, recording or perfection of any security interest contemplated by any Security Document or any other document referred to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 shall indemnify the Administrative Agent, each Issuing Lender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The Lenders agree to indemnify the Administrative Agent and each Issuing Lender in their capacity as such (to the extent not reimbursed by the Borrower and without limiting the obligation of the Borrower or any of the other Loan Parties to do so), ratably according to their respective Applicable Percentages in effect on the date on which indemnification is sought under this paragraph,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or such Issuing Lender in any way relating to or arising out of this Agreement, any of the other Loan Documents or any documents contemplated by or referred to herein or therein or the transactions contemplated hereby or thereby or any action taken or omitted by the Administrative Agent or such Issuing Lender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for the payment of any portion of such liabilities, obligations, losses, damages, penalties, actions, judgments, suits, costs, expenses or disbursements to the extent resulting from the Administrative Agent’s or such Issuing Lender’s (as the case may be) gross negligence or willful misconduct, as determined in a final and non-appealable judgment by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To the extent permitted by Applicable Law, the Borrower shall not assert, and the Borrower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referred to in clause (b) above shall be liable for any damages arising from the use by unintended recipients of any information or other materials distributed to such unintended recipients by such Indemnitee using reasonable care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shall be payable promptly after written demand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Assignments Generally</w:t>
      </w:r>
      <w:r>
        <w:rPr>
          <w:rFonts w:ascii="Times New Roman;Times;Serif" w:hAnsi="Times New Roman;Times;Serif"/>
          <w:b w:val="false"/>
          <w:i w:val="false"/>
          <w:caps w:val="false"/>
          <w:smallCaps w:val="false"/>
          <w:sz w:val="20"/>
        </w:rPr>
        <w:t>. The provisions of this Agreement shall be binding upon and inure to the benefit of the parties hereto and their respective successors and assigns permitted hereby (including any Affiliate of any Issuing Lender that issues any Letter of Credit), except that (i) the Borrower may not assign or otherwise transfer</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Lender that issues any Letter of Credit), Participants (to the extent provided in paragraph (c) of this Section) and, to the extent expressly contemplated hereby, the Related Parties of each of the Administrative Agent, the Issuing Lenders and the Lenders) any legal or equitable right, remedy or claim under or by reason of this Agreement. For the avoidance of doubt, it is hereby understood and agreed by all parties to this Agreement that the assignment provisions of Section 10.04 shall not apply to any Person in its capacity as a Hedge Bank or affect its status or rights as a Secured Party in respect of any Specified Swap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Assignments by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Assignments by Lenders Generally</w:t>
      </w:r>
      <w:r>
        <w:rPr>
          <w:rFonts w:ascii="Times New Roman;Times;Serif" w:hAnsi="Times New Roman;Times;Serif"/>
          <w:b w:val="false"/>
          <w:i w:val="false"/>
          <w:caps w:val="false"/>
          <w:smallCaps w:val="false"/>
          <w:sz w:val="20"/>
        </w:rPr>
        <w:t>. Subject to the conditions set forth in paragraph (b)(ii) below, any Lender may assign to one or more assignees (other than a natural person or a holding company, investment vehicle or trust for, or owned and operated by or for the primary benefit of one or more natural persons or a Disqualified Institution)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Borrower shall be required for an assignment to a Lender, an Affiliate of a Lender, an Approved Fund or, if an Event of Default described in Section 8.01(a) (solely with respect to principal), Section 8.01(b) (solely with respect to interest), Section 8.01(h) or Section 8.01(i) has occurred and is continuing, any other assignee;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Borrower shall be deemed to have consented to any such assignment unless the Borrower shall object thereto by written notice to the Administrative Agent within five Business Days after having received notice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Issuing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Issuing Lenders shall be required for an assignment under any Term Loan Facility.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Certain Conditions to Assignments</w:t>
      </w:r>
      <w:r>
        <w:rPr>
          <w:rFonts w:ascii="Times New Roman;Times;Serif" w:hAnsi="Times New Roman;Times;Serif"/>
          <w:b w:val="false"/>
          <w:i w:val="false"/>
          <w:caps w:val="false"/>
          <w:smallCaps w:val="false"/>
          <w:sz w:val="20"/>
        </w:rPr>
        <w:t>. Assignments shall be subject to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(x) in the case of an assignment under the Revolving Facility, $5,000,000 and (y) in the case of an assignment under any Term Loan Facility, $1,000,000, in each case, unless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has occurred and is continuing,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to each assignment shall execute and deliver to the Administrative Agent an Assignment and Assumption, together with a processing and recordation fee of $3,500,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assignee, if it shall not be a Lender, shall deliver to the Administrative Agent an Administrative Questionnaire.</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Effectiveness of Assignments</w:t>
      </w:r>
      <w:r>
        <w:rPr>
          <w:rFonts w:ascii="Times New Roman;Times;Serif" w:hAnsi="Times New Roman;Times;Serif"/>
          <w:b w:val="false"/>
          <w:i w:val="false"/>
          <w:caps w:val="false"/>
          <w:smallCaps w:val="false"/>
          <w:sz w:val="20"/>
        </w:rPr>
        <w:t>.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10.03).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Maintenance of Register by the Administrative Agent</w:t>
      </w:r>
      <w:r>
        <w:rPr>
          <w:rFonts w:ascii="Times New Roman;Times;Serif" w:hAnsi="Times New Roman;Times;Serif"/>
          <w:b w:val="false"/>
          <w:i w:val="false"/>
          <w:caps w:val="false"/>
          <w:smallCaps w:val="false"/>
          <w:sz w:val="20"/>
        </w:rPr>
        <w:t>.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the Borrower,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Lender and any Lender, at any reasonable time and from time to time upon reasonable prior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Acceptance of Assignments by Administrative Agent</w:t>
      </w:r>
      <w:r>
        <w:rPr>
          <w:rFonts w:ascii="Times New Roman;Times;Serif" w:hAnsi="Times New Roman;Times;Serif"/>
          <w:b w:val="false"/>
          <w:i w:val="false"/>
          <w:caps w:val="false"/>
          <w:smallCaps w:val="false"/>
          <w:sz w:val="20"/>
        </w:rPr>
        <w:t>.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Participations Generally</w:t>
      </w:r>
      <w:r>
        <w:rPr>
          <w:rFonts w:ascii="Times New Roman;Times;Serif" w:hAnsi="Times New Roman;Times;Serif"/>
          <w:b w:val="false"/>
          <w:i w:val="false"/>
          <w:caps w:val="false"/>
          <w:smallCaps w:val="false"/>
          <w:sz w:val="20"/>
        </w:rPr>
        <w:t>. Any Lender may, without the consent of the Borrower, the Administrative Agent or any Issuing Lender, sell participations to one or more banks or other entities (other than a natural person or a holding company, investment vehicle or trust for, or owned and operated by or for the primary benefit of one or more natural persons, a Defaulting Lender or a Disqualified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and the other Loan Documents (including all or a portion of its Commitment and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and the other Loan Documents shall remain unchanged, (B) such Lender shall remain solely responsible to the other parties hereto for the performance of such obligations and (C) the Borrower, the Administrative Agent, the Issuing Lenders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Section 10.02(b) that affects such Participant. Subject to paragraph (c)(ii) of this Section, the Borrower agrees that each Participant shall be entitled to the benefits of, and subject to the limitations of, Sections 2.15, 2.16 and 2.17 to the same extent as if it were a Lender and had acquired its interest by assignment pursuant to paragraph (b) of this Section. To the extent permitted by law, each Participant also shall be entitled to the benefits of Section 10.08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Section 2.18(c)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to any Person (including the identity of any Participant or any information relating to a</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-104-</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Limitations on Rights of Participants</w:t>
      </w:r>
      <w:r>
        <w:rPr>
          <w:rFonts w:ascii="Times New Roman;Times;Serif" w:hAnsi="Times New Roman;Times;Serif"/>
          <w:b w:val="false"/>
          <w:i w:val="false"/>
          <w:caps w:val="false"/>
          <w:smallCaps w:val="false"/>
          <w:sz w:val="20"/>
        </w:rPr>
        <w:t>. 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and except to the extent such entitlement to receive a greater payment results from a Change in Law that occurs after the Participant acquired the applicable participation. No Participant shall be entitled to the benefits of Section 2.17 unless such Participant complies with Section 2.17(f) and (g) as though it were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assignment or, to the extent the DQ List (as defined below) has been posted on the Platform for all Lenders, participation shall be made to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applicable Lender entered into a binding agreement to sell and assign or participate all or a portion of its rights and obligations under this Agreement to such Person (unless the Borrower has consented to such assignment as otherwise contemplated by this Section 10.04,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or participant and (y) the execution by the Borrower of an Assignment and Assumption with respect to such assignee will not by itself result in such assignee no longer being considered a Disqualified Institution. Any assignment in violation of this clause (e)(i) shall not be void, but the other provisions of this clause (e) shall apply.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is made to any Disqualified Institution without the Borrower’s prior consent in violation of clause (i) above, or if any Person becomes a Disqualified Institution after the applicable Trade Date, the Borrower may, at its sole expense and efforts,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Section 10.04), all of its interest, rights and obligations under this Agreement and related Loan Documents to a Person that meets the requirements to be an assignee under Section 10.04(b)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provided that (i) the Borrower shall have paid to the Administrative Agent the assignment fee (if any) specified in Section</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-105-</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10.04(b), (ii) such assignment does not conflict with Applicable Laws and (iii) in the case of clause (B), the Borrower shall not use the proceeds from any Loans to prepay Term Loans held by Disqualified Institutions.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the Platform, including that portion of the Platform that is designated for “public side” Lenders or (B) provide the DQ List to each Lender requesting the same.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10.03 and Article IX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Counterparts; Integration; Effectiveness</w:t>
      </w:r>
      <w:r>
        <w:rPr>
          <w:rFonts w:ascii="Times New Roman;Times;Serif" w:hAnsi="Times New Roman;Times;Serif"/>
          <w:b w:val="false"/>
          <w:i w:val="false"/>
          <w:caps w:val="false"/>
          <w:smallCaps w:val="false"/>
          <w:sz w:val="20"/>
        </w:rPr>
        <w: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shall be effective as delivery of a manually executed counterpart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any Loan Document and any other Communication, including Communications required to be in writing, may be in the form of an Electronic Record and may be executed using Electronic Signatures. The Borrower and each of the Administrative Agent, the Lenders and the Issuing Lenders agrees that any Electronic</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-106-</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and Issuing Lenders may, at its option, create one or more copies of any Communication in the form of an imaged Electronic Record (“</w:t>
      </w:r>
      <w:r>
        <w:rPr>
          <w:rFonts w:ascii="Times New Roman;Times;Serif" w:hAnsi="Times New Roman;Times;Serif"/>
          <w:b w:val="false"/>
          <w:i w:val="false"/>
          <w:caps w:val="false"/>
          <w:smallCaps w:val="false"/>
          <w:sz w:val="20"/>
          <w:u w:val="single"/>
        </w:rPr>
        <w:t>Electronic Copy</w:t>
      </w:r>
      <w:r>
        <w:rPr>
          <w:rFonts w:ascii="Times New Roman;Times;Serif" w:hAnsi="Times New Roman;Times;Serif"/>
          <w:b w:val="false"/>
          <w:i w:val="false"/>
          <w:caps w:val="false"/>
          <w:smallCaps w:val="false"/>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Issuing Lender is under any obligation to accept an Electronic Signature in any form or in any format unless expressly agreed to by such Person pursuant to procedures approved by it; provided, further, without limiting the foregoing, (a) to the extent the Administrative Agent and/or any Issuing Lender has agreed to accept such Electronic Signature, the Administrative Agent and each of the Lenders and Issuing Lenders shall be entitled to rely on any such Electronic Signature purportedly given by or on behalf of the Borrower and/or any Lender or Issuing Lender without further verification and (b) upon the request of the Administrative Agent or any Lender or any Issuing Lender, any Electronic Signature shall be promptly followed by such manually executed counterpart. For purposes hereof, “</w:t>
      </w:r>
      <w:r>
        <w:rPr>
          <w:rFonts w:ascii="Times New Roman;Times;Serif" w:hAnsi="Times New Roman;Times;Serif"/>
          <w:b w:val="false"/>
          <w:i w:val="false"/>
          <w:caps w:val="false"/>
          <w:smallCaps w:val="false"/>
          <w:sz w:val="20"/>
          <w:u w:val="single"/>
        </w:rPr>
        <w:t>Electronic Record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shall have the meanings assigned to them, respectively, by 15 USC §7006, as it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nor any Issuing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any Issuing Lender’s reliance on any Electronic Signature transmitted by telecopy, emailed .pdf or any other electronic means). The Administrative Agent and Issuing Lenders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Lender and each Issuing Lender hereby waive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and each Issuing Lender for any liabilities arising solely from the Administrative Agent’s, any Lender’s and/or any Issuing Lender’s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w:t>
      </w:r>
      <w:r>
        <w:rPr>
          <w:rFonts w:ascii="Times New Roman;Times;Serif" w:hAnsi="Times New Roman;Times;Serif"/>
          <w:b w:val="false"/>
          <w:i w:val="false"/>
          <w:caps w:val="false"/>
          <w:smallCaps w:val="false"/>
          <w:sz w:val="20"/>
          <w:u w:val="single"/>
        </w:rPr>
        <w:t xml:space="preserve"> 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-107-</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obligations may be unmatured or such Lender is otherwise fully secured. The rights of each Lender under this Section are in addition to other rights and remedies (including other rights of setoff) which such Lender may have. Each Lender agrees to notify the Borrower and the Administrative Agent as promptly as practicable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construed in accordance with and governed by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The Borrower hereby irrevocably and unconditionally submits, for itself and its property, to the nonexclusive jurisdiction of the Supreme Court of the State of New York sitting in New York County and of the United States District Court of the Southern District of New York sitting in New York County, and any appellate court from any thereof, in any action or proceeding (whether in tort, contract, law or equity) arising out of or relating to this Agreement, or for recognition or enforcement of any judgment, and each of the parties hereto hereby irrevocably and unconditionally agrees that all claims in respect of any such action or proceeding (whether in tort, contract, law or equity) may be heard and determined in such New York State or, to the extent permitted by law, in such Federal court. Each of the parties hereto agrees that a final judgment in any such action or proceeding (whether in tort, contract, law or equity) shall be conclusive and may be enforced in other jurisdictions by suit on the judgment or in any other manner provided by law. Nothing in this Agreement shall affect any right that the Administrative Agent, any Issuing Lender or any Lender may otherwise have to bring any action or proceeding (whether in tort, contract, law or equity) relating to this Agreement against the Borrower or its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Each party to this Agreement irrevocably consents to service of process in the manner provided for notices in Section 10.01. Nothing in this Agreement will affect the right of any party to this Agreement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This is an international loan transaction in which the specification of Dollars or any Foreign Currency, as the case may be (the “</w:t>
      </w:r>
      <w:r>
        <w:rPr>
          <w:rFonts w:ascii="Times New Roman;Times;Serif" w:hAnsi="Times New Roman;Times;Serif"/>
          <w:b w:val="false"/>
          <w:i w:val="false"/>
          <w:caps w:val="false"/>
          <w:smallCaps w:val="false"/>
          <w:sz w:val="20"/>
          <w:u w:val="single"/>
        </w:rPr>
        <w:t>Specified Currency</w:t>
      </w:r>
      <w:r>
        <w:rPr>
          <w:rFonts w:ascii="Times New Roman;Times;Serif" w:hAnsi="Times New Roman;Times;Serif"/>
          <w:b w:val="false"/>
          <w:i w:val="false"/>
          <w:caps w:val="false"/>
          <w:smallCaps w:val="false"/>
          <w:sz w:val="20"/>
        </w:rPr>
        <w:t>”), and payment in New York City or the country of the Specified Currency, as the case may be (the “</w:t>
      </w:r>
      <w:r>
        <w:rPr>
          <w:rFonts w:ascii="Times New Roman;Times;Serif" w:hAnsi="Times New Roman;Times;Serif"/>
          <w:b w:val="false"/>
          <w:i w:val="false"/>
          <w:caps w:val="false"/>
          <w:smallCaps w:val="false"/>
          <w:sz w:val="20"/>
          <w:u w:val="single"/>
        </w:rPr>
        <w:t>Specified Place</w:t>
      </w:r>
      <w:r>
        <w:rPr>
          <w:rFonts w:ascii="Times New Roman;Times;Serif" w:hAnsi="Times New Roman;Times;Serif"/>
          <w:b w:val="false"/>
          <w:i w:val="false"/>
          <w:caps w:val="false"/>
          <w:smallCaps w:val="false"/>
          <w:sz w:val="20"/>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-108-</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(the “</w:t>
      </w:r>
      <w:r>
        <w:rPr>
          <w:rFonts w:ascii="Times New Roman;Times;Serif" w:hAnsi="Times New Roman;Times;Serif"/>
          <w:b w:val="false"/>
          <w:i w:val="false"/>
          <w:caps w:val="false"/>
          <w:smallCaps w:val="false"/>
          <w:sz w:val="20"/>
          <w:u w:val="single"/>
        </w:rPr>
        <w:t>Second Currency</w:t>
      </w:r>
      <w:r>
        <w:rPr>
          <w:rFonts w:ascii="Times New Roman;Times;Serif" w:hAnsi="Times New Roman;Times;Serif"/>
          <w:b w:val="false"/>
          <w:i w:val="false"/>
          <w:caps w:val="false"/>
          <w:smallCaps w:val="false"/>
          <w:sz w:val="20"/>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“Entitled Person”)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Administrative Agent, the Issuing Lenders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Issuing Lender or any Lender on a nonconfidential basis from a source other than the Borrower. In addition, the Administrative Agent and the Lenders may disclose the existence of this Agreement and its terms to market data collectors, similar service providers to the lending industry and service providers to the Administrative Agent and the Lenders in connection with the administration of this Agreement, the other Loan Documents, the Loans and the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Section, “Information” means all information received from the Borrower or its Affiliates relating to the Borrower, its Subsidiaries or their businesses, other than any such information that is available to the Administrative Agent, any Issuing Lender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Borrower after the Third Restatement Effective Date, such information is clearly identified at the time of delivery as confidential. Any Person required to maintain the confidentiality of Information as provided in this Section 10.13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and the Beneficial Ownership Regulation, such Lender may be required to obtain, verify and record information that identifies the Borrower, which information includes the name and address of the Borrower and other information</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-109-</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will allow such Lender to identify the Borrower in accordance with said Act and the Beneficial Ownership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Releases of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or in any other Loan Document, the Administrative Agent is hereby irrevocably authorized by each Lender (without requirement of notice to or consent of any Lender except as expressly required by Section 10.01) to take (and the Administrative Agent shall take) any action requested by the Borrower that is necessary to release the Collateral (including any UCC termination statements, lien releases, re-assignments of trademarks, discharges of security interests and other similar discharge or release documents (and, if applicable, in recordable form)) (i) to the extent necessary to permit consummation of any transaction expressly permitted by any Loan Document or that has been consented to in accordance with Section 10.02 and (ii) under the circumstances described in paragraph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time as the Loans and the other Obligations under the Loan Documents shall have been paid in full, the Commitments have expired or been terminated and no Letters of Credit shall be outstanding, the Collateral shall be released from the Liens created by the Security Documents, and the Security Documents and all obligations (other than those expressly stated to survive such termination) of the Administrative Agent and each Loan Party under the Loan Documents shall terminate, all without delivery of any instrument or performance of any act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xml:space="preserve">. Notwithstanding anything to the contrary in any Loan Document or in any other agreement, arrangement or understanding among any such parties, each party hereto acknowledges that any liability of any </w:t>
      </w:r>
      <w:r>
        <w:rPr>
          <w:rFonts w:ascii="Times New Roman;Times;Serif" w:hAnsi="Times New Roman;Times;Serif"/>
          <w:b w:val="false"/>
          <w:i w:val="false"/>
          <w:caps w:val="false"/>
          <w:smallCaps w:val="false"/>
          <w:sz w:val="20"/>
          <w:u w:val="single"/>
        </w:rPr>
        <w:t>Affected</w:t>
      </w:r>
      <w:r>
        <w:rPr>
          <w:rFonts w:ascii="Times New Roman;Times;Serif" w:hAnsi="Times New Roman;Times;Serif"/>
          <w:b w:val="false"/>
          <w:i w:val="false"/>
          <w:caps w:val="false"/>
          <w:smallCaps w:val="false"/>
          <w:sz w:val="20"/>
        </w:rPr>
        <w:t xml:space="preserve">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application of any Write-Down and Conversion Powers by an EEA Resolution Authority to any such liabilities arising hereunder which may be payable to it by any party hereto that is an </w:t>
      </w:r>
      <w:r>
        <w:rPr>
          <w:rFonts w:ascii="Times New Roman;Times;Serif" w:hAnsi="Times New Roman;Times;Serif"/>
          <w:b w:val="false"/>
          <w:i w:val="false"/>
          <w:caps w:val="false"/>
          <w:smallCaps w:val="false"/>
          <w:sz w:val="20"/>
          <w:u w:val="single"/>
        </w:rPr>
        <w:t>Affected</w:t>
      </w:r>
      <w:r>
        <w:rPr>
          <w:rFonts w:ascii="Times New Roman;Times;Serif" w:hAnsi="Times New Roman;Times;Serif"/>
          <w:b w:val="false"/>
          <w:i w:val="false"/>
          <w:caps w:val="false"/>
          <w:smallCaps w:val="false"/>
          <w:sz w:val="20"/>
        </w:rPr>
        <w:t xml:space="preserve"> Financial Institution;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conversion of all, or a portion of, such liability into shares or other instruments of ownership in such </w:t>
      </w:r>
      <w:r>
        <w:rPr>
          <w:rFonts w:ascii="Times New Roman;Times;Serif" w:hAnsi="Times New Roman;Times;Serif"/>
          <w:b w:val="false"/>
          <w:i w:val="false"/>
          <w:caps w:val="false"/>
          <w:smallCaps w:val="false"/>
          <w:sz w:val="20"/>
          <w:u w:val="single"/>
        </w:rPr>
        <w:t>Affected</w:t>
      </w:r>
      <w:r>
        <w:rPr>
          <w:rFonts w:ascii="Times New Roman;Times;Serif" w:hAnsi="Times New Roman;Times;Serif"/>
          <w:b w:val="false"/>
          <w:i w:val="false"/>
          <w:caps w:val="false"/>
          <w:smallCaps w:val="false"/>
          <w:sz w:val="20"/>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Loan Documents provide support, through a guarantee or otherwise, for any Swap Agreement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r>
        <w:rPr>
          <w:rFonts w:ascii="Times New Roman;Times;Serif" w:hAnsi="Times New Roman;Times;Serif"/>
          <w:b w:val="false"/>
          <w:i w:val="false"/>
          <w:caps w:val="false"/>
          <w:smallCaps w:val="false"/>
          <w:sz w:val="20"/>
          <w:u w:val="single"/>
        </w:rPr>
        <w:t xml:space="preserve">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-110-</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No Novation</w:t>
      </w:r>
      <w:r>
        <w:rPr>
          <w:rFonts w:ascii="Times New Roman;Times;Serif" w:hAnsi="Times New Roman;Times;Serif"/>
          <w:b w:val="false"/>
          <w:i w:val="false"/>
          <w:caps w:val="false"/>
          <w:smallCaps w:val="false"/>
          <w:sz w:val="20"/>
        </w:rPr>
        <w:t>. The terms and conditions of the Fifth Restated Credit Agreement are amended as set forth herein, and restated in their entirety and superseded by, this Agreement. Nothing in this Agreement shall be deemed to work a novation of any of the obligations under the Fifth Restated Credit Agreement. Notwithstanding any provision of this Agreement or any other document or instrument executed in connection herewith, the execution and delivery of this Agreement and the incurrence of obligations hereunder shall be in substitution for, but not in payment of, the obligations owed by the Borrowers under the Fifth Restated Credit Agreement. From and after the Sixth Restatement Effective Date, each reference to the “Credit Agreement” or other reference originally applicable to the Fifth Restated Credit Agreement contained in any document executed and delivered in connection therewith shall be a reference to this Agreement, as amended, supplemented,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the Administrative Agent, any Issuing Lender or any Lender is intended to be or has been created in respect of the transactions contemplated hereby or by the other Loan Documents, irrespective of whether the Arrangers, the Administrative Agent, any Issuing Lender or any Lender has advised or is advising the Borrower or any Subsidiary on other matters, (ii) the arranging and other services regarding this Agreement provided by the Arrangers, the Administrative Agent, the Issuing Lenders and the Lenders are arm’s-length commercial transactions between the Borrower and its Affiliates, on the one hand, and the Arrangers, the Administrative Agent, the Issuing Lenders and the Lenders, on the other hand, (iii) the Borrower has consulted its own legal, accounting, regulatory and tax advisors to the extent that it has deemed appropriate and (iv) the Borrower is capable of evaluating, and understands</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-111-</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accepts, the terms, risks and conditions of the transactions contemplated hereby and by the other Loan Documents; and (b) (i) the Arrangers, the Administrative Agent, the Issuing Lenders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Arrangers, the Administrative Agent, the Issuing Lenders and the Lenders has any obligation to the Borrower or any of its Affiliates with respect to the transactions contemplated hereby except those obligations expressly set forth herein and in the other Loan Documents; and (iii) the Arrangers, the Administrative Agent, the Issuing Lenders and the Lenders and their respective branches and Affiliates may be engaged, for their own accounts or the accounts of customers, in a broad range of transactions that involve interests that differ from those of the Borrower and its Affiliates, and none of the Arrangers, the Administrative Agent, the Issuing Lenders and the Lenders has any obligation to disclose any of such interests to the Borrower or its Affiliates. To the fullest extent permitted by Law, the Borrower hereby waives and releases any claims that it may have against any of the Arrangers, the Administrative Agent, the Issuing Lenders and the Lenders with respect to any breach or alleged breach of agency or fiduciary duty in connection with any aspect of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10.20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10.21 </w:t>
      </w:r>
      <w:r>
        <w:rPr>
          <w:rFonts w:ascii="Times New Roman;Times;Serif" w:hAnsi="Times New Roman;Times;Serif"/>
          <w:b w:val="false"/>
          <w:i w:val="false"/>
          <w:caps w:val="false"/>
          <w:smallCaps w:val="false"/>
          <w:sz w:val="20"/>
          <w:u w:val="single"/>
        </w:rPr>
        <w:t>Payments Set Aside</w:t>
      </w:r>
      <w:r>
        <w:rPr>
          <w:rFonts w:ascii="Times New Roman;Times;Serif" w:hAnsi="Times New Roman;Times;Serif"/>
          <w:b w:val="false"/>
          <w:i w:val="false"/>
          <w:caps w:val="false"/>
          <w:smallCaps w:val="false"/>
          <w:sz w:val="20"/>
        </w:rPr>
        <w:t>. To the extent that any payment by or on behalf of the Borrower is made to the Administrative Agent, any Issuing Lender or any Lender, or the Administrative Agent, any Issuing Lender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Intentionally Omitted]</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-112-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Schedules to the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REVOLVING COMMITMENTS</w:t>
      </w:r>
    </w:p>
    <w:p>
      <w:pPr>
        <w:pStyle w:val="TextBody"/>
        <w:bidi w:val="0"/>
        <w:spacing w:before="0" w:after="0"/>
        <w:ind w:left="0" w:right="0" w:hanging="0"/>
        <w:jc w:val="center"/>
        <w:rPr>
          <w:caps w:val="false"/>
          <w:smallCaps w:val="false"/>
        </w:rPr>
      </w:pPr>
      <w:r>
        <w:rPr>
          <w:caps w:val="false"/>
          <w:smallCaps w:val="false"/>
        </w:rPr>
        <w:t> </w:t>
      </w:r>
    </w:p>
    <w:tbl>
      <w:tblPr>
        <w:tblW w:w="6580" w:type="dxa"/>
        <w:jc w:val="left"/>
        <w:tblInd w:w="0" w:type="dxa"/>
        <w:tblLayout w:type="fixed"/>
        <w:tblCellMar>
          <w:top w:w="40" w:type="dxa"/>
          <w:left w:w="60" w:type="dxa"/>
          <w:bottom w:w="40" w:type="dxa"/>
          <w:right w:w="28" w:type="dxa"/>
        </w:tblCellMar>
      </w:tblPr>
      <w:tblGrid>
        <w:gridCol w:w="4130"/>
        <w:gridCol w:w="2450"/>
      </w:tblGrid>
      <w:tr>
        <w:trPr/>
        <w:tc>
          <w:tcPr>
            <w:tcW w:w="41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b/>
                <w:u w:val="single"/>
              </w:rPr>
            </w:pPr>
            <w:r>
              <w:rPr>
                <w:b/>
                <w:u w:val="single"/>
              </w:rPr>
              <w:t>Revolving Lender</w:t>
            </w:r>
          </w:p>
        </w:tc>
        <w:tc>
          <w:tcPr>
            <w:tcW w:w="24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b/>
                <w:u w:val="single"/>
              </w:rPr>
            </w:pPr>
            <w:r>
              <w:rPr>
                <w:b/>
                <w:u w:val="single"/>
              </w:rPr>
              <w:t>Revolving Commitment</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Bank of America, N.A.</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$90,000,000.00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BNP Paribas</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$62,500,000.00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Deutsche Bank AG New York Branch</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$62,500,000.00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Goldman Sachs Bank USA</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$62,500,000.00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Wells Fargo Bank, National Association</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$62,500,000.00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Capital One, National Association</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$40,000,000.00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Manufacturers and Traders Trust Company</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$40,000,000.00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Morgan Stanley Senior Funding, Inc.</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$40,000,000.00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TD Bank, N.A.</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$40,000,000.00</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TOTAL</w:t>
            </w:r>
          </w:p>
        </w:tc>
        <w:tc>
          <w:tcPr>
            <w:tcW w:w="2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b/>
              </w:rPr>
            </w:pPr>
            <w:r>
              <w:rPr>
                <w:b/>
              </w:rPr>
              <w:t>$500,000,000.00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SOLVENCY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Third Amendment to Fifth Amended and Restated Credit Agreement, dated as of August 18, 2026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among the Loan Parties, the financial institutions party thereto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meanings assigned to them in the Sixth Amended and Restated Credit Agreement (as defined in the Third Amendment). This certificate is furnished pursuant to Section 3(l) of the Third Amendment. The undersigned certifies that he is the duly appointed, qualified and chief financial officer of the Borrower. The undersigned acknowledges that the Administrative Agent and the Lenders are relying on the truth and accuracy of this certificate in connection with the transactions contemplated by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my capacity as a financial executive officer of the Borrower and not individually (and without personal liability), I hereby certify to the Administrative Agent and the Lenders, that as of the date hereof, based on such materials and information as I have deemed relevant to the determination of the matters set forth in this certificate, after giving effect to the consummation of the transactions contemplated by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debt and other liabilities (including contingent liabilities) of the Loan Parties, on a consolidated basis, does not exceed the present fair saleable value of the present assets of the Loan Parties, on a consolidated basis;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capital of the Loan Parties is not unreasonably small in relation to its business as contemplated on the Sixth Restatement Effective Date or with respect to any transaction contemplated to be undertaken after the Sixth Restatement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on a consolidated basis, have not incurred and do not intend to incur, or believe (nor should they reasonably believe) that they will incur, debts and liabilities (including contingent liabilities) beyond their ability to pay such debts and liabilities as they become due (whether at maturity or otherwise);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Loan Parties, on a consolidated basis, are “solvent” within the meaning given that term and similar terms under the Bankruptcy Code and Applicable Laws relating to fraudulent transfers and conveyances.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certificate,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2853" w:type="dxa"/>
        <w:jc w:val="left"/>
        <w:tblInd w:w="0" w:type="dxa"/>
        <w:tblLayout w:type="fixed"/>
        <w:tblCellMar>
          <w:top w:w="0" w:type="dxa"/>
          <w:left w:w="0" w:type="dxa"/>
          <w:bottom w:w="0" w:type="dxa"/>
          <w:right w:w="0" w:type="dxa"/>
        </w:tblCellMar>
      </w:tblPr>
      <w:tblGrid>
        <w:gridCol w:w="75"/>
        <w:gridCol w:w="1928"/>
        <w:gridCol w:w="377"/>
        <w:gridCol w:w="473"/>
      </w:tblGrid>
      <w:tr>
        <w:trPr/>
        <w:tc>
          <w:tcPr>
            <w:tcW w:w="75" w:type="dxa"/>
            <w:tcBorders/>
            <w:vAlign w:val="center"/>
          </w:tcPr>
          <w:p>
            <w:pPr>
              <w:pStyle w:val="TableContents"/>
              <w:bidi w:val="0"/>
              <w:spacing w:before="0" w:after="283"/>
              <w:jc w:val="both"/>
              <w:rPr/>
            </w:pPr>
            <w:r>
              <w:rPr/>
              <w:t> </w:t>
            </w:r>
          </w:p>
        </w:tc>
        <w:tc>
          <w:tcPr>
            <w:tcW w:w="2778" w:type="dxa"/>
            <w:gridSpan w:val="3"/>
            <w:tcBorders/>
            <w:vAlign w:val="center"/>
          </w:tcPr>
          <w:p>
            <w:pPr>
              <w:pStyle w:val="TableContents"/>
              <w:bidi w:val="0"/>
              <w:spacing w:before="0" w:after="283"/>
              <w:jc w:val="left"/>
              <w:rPr/>
            </w:pPr>
            <w:r>
              <w:rPr>
                <w:b/>
              </w:rPr>
              <w:t>Griffon Corporation</w:t>
            </w:r>
            <w:r>
              <w:rPr/>
              <w:t>,</w:t>
            </w:r>
          </w:p>
        </w:tc>
      </w:tr>
      <w:tr>
        <w:trPr/>
        <w:tc>
          <w:tcPr>
            <w:tcW w:w="75" w:type="dxa"/>
            <w:tcBorders/>
            <w:vAlign w:val="center"/>
          </w:tcPr>
          <w:p>
            <w:pPr>
              <w:pStyle w:val="TableContents"/>
              <w:bidi w:val="0"/>
              <w:spacing w:before="0" w:after="283"/>
              <w:jc w:val="both"/>
              <w:rPr/>
            </w:pPr>
            <w:r>
              <w:rPr/>
              <w:t> </w:t>
            </w:r>
          </w:p>
        </w:tc>
        <w:tc>
          <w:tcPr>
            <w:tcW w:w="2778" w:type="dxa"/>
            <w:gridSpan w:val="3"/>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both"/>
              <w:rPr/>
            </w:pPr>
            <w:r>
              <w:rPr/>
              <w:t> </w:t>
            </w:r>
          </w:p>
        </w:tc>
        <w:tc>
          <w:tcPr>
            <w:tcW w:w="27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928" w:type="dxa"/>
            <w:tcBorders/>
            <w:vAlign w:val="center"/>
          </w:tcPr>
          <w:p>
            <w:pPr>
              <w:pStyle w:val="TableContents"/>
              <w:bidi w:val="0"/>
              <w:spacing w:before="0" w:after="283"/>
              <w:jc w:val="both"/>
              <w:rPr/>
            </w:pPr>
            <w:r>
              <w:rPr/>
              <w:t>By:</w:t>
            </w:r>
          </w:p>
        </w:tc>
        <w:tc>
          <w:tcPr>
            <w:tcW w:w="377" w:type="dxa"/>
            <w:tcBorders>
              <w:bottom w:val="single" w:sz="2" w:space="0" w:color="000000"/>
            </w:tcBorders>
            <w:tcMar>
              <w:bottom w:w="28" w:type="dxa"/>
            </w:tcMar>
            <w:vAlign w:val="center"/>
          </w:tcPr>
          <w:p>
            <w:pPr>
              <w:pStyle w:val="TableContents"/>
              <w:bidi w:val="0"/>
              <w:spacing w:before="0" w:after="283"/>
              <w:jc w:val="both"/>
              <w:rPr/>
            </w:pPr>
            <w:r>
              <w:rPr/>
              <w:t> </w:t>
            </w:r>
          </w:p>
        </w:tc>
        <w:tc>
          <w:tcPr>
            <w:tcW w:w="47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78" w:type="dxa"/>
            <w:gridSpan w:val="3"/>
            <w:tcBorders/>
            <w:vAlign w:val="center"/>
          </w:tcPr>
          <w:p>
            <w:pPr>
              <w:pStyle w:val="TableContents"/>
              <w:bidi w:val="0"/>
              <w:spacing w:before="0" w:after="283"/>
              <w:jc w:val="left"/>
              <w:rPr/>
            </w:pPr>
            <w:r>
              <w:rPr/>
              <w:t>Name: Brian G. Harris</w:t>
            </w:r>
          </w:p>
        </w:tc>
      </w:tr>
      <w:tr>
        <w:trPr/>
        <w:tc>
          <w:tcPr>
            <w:tcW w:w="75" w:type="dxa"/>
            <w:tcBorders/>
            <w:vAlign w:val="center"/>
          </w:tcPr>
          <w:p>
            <w:pPr>
              <w:pStyle w:val="TableContents"/>
              <w:bidi w:val="0"/>
              <w:spacing w:before="0" w:after="283"/>
              <w:jc w:val="both"/>
              <w:rPr/>
            </w:pPr>
            <w:r>
              <w:rPr/>
              <w:t> </w:t>
            </w:r>
          </w:p>
        </w:tc>
        <w:tc>
          <w:tcPr>
            <w:tcW w:w="2778" w:type="dxa"/>
            <w:gridSpan w:val="3"/>
            <w:tcBorders/>
            <w:vAlign w:val="center"/>
          </w:tcPr>
          <w:p>
            <w:pPr>
              <w:pStyle w:val="TableContents"/>
              <w:bidi w:val="0"/>
              <w:spacing w:before="0" w:after="283"/>
              <w:jc w:val="left"/>
              <w:rPr/>
            </w:pPr>
            <w:r>
              <w:rPr/>
              <w:t>Title: Chief Financial Officer</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Times New Roman;Times;Serif" w:hAnsi="Times New Roman;Times;Serif"/>
          <w:b w:val="false"/>
          <w:i w:val="false"/>
          <w:caps w:val="false"/>
          <w:smallCaps w:val="false"/>
          <w:sz w:val="24"/>
          <w:u w:val="single"/>
        </w:rPr>
      </w:pPr>
      <w:bookmarkStart w:id="6" w:name="c117477_ex99-2.htm"/>
      <w:bookmarkStart w:id="7" w:name="ksc117477_ex992"/>
      <w:bookmarkEnd w:id="6"/>
      <w:bookmarkEnd w:id="7"/>
      <w:r>
        <w:rPr>
          <w:rFonts w:ascii="Times New Roman;Times;Serif" w:hAnsi="Times New Roman;Times;Serif"/>
          <w:b w:val="false"/>
          <w:i w:val="false"/>
          <w:caps w:val="false"/>
          <w:smallCaps w:val="false"/>
          <w:sz w:val="24"/>
          <w:u w:val="single"/>
        </w:rPr>
        <w:t>Exhibit 99.2</w:t>
      </w:r>
      <w:r>
        <w:br w:type="page"/>
      </w:r>
    </w:p>
    <w:p>
      <w:pPr>
        <w:pStyle w:val="TextBody"/>
        <w:bidi w:val="0"/>
        <w:jc w:val="right"/>
        <w:rPr>
          <w:caps w:val="false"/>
          <w:smallCaps w:val="false"/>
        </w:rPr>
      </w:pPr>
      <w:r>
        <w:rPr>
          <w:caps w:val="false"/>
          <w:smallCaps w:val="false"/>
        </w:rPr>
        <w:t> </w:t>
      </w:r>
    </w:p>
    <w:p>
      <w:pPr>
        <w:pStyle w:val="TextBody"/>
        <w:shd w:fill="FFFFFF" w:val="clear"/>
        <w:bidi w:val="0"/>
        <w:jc w:val="center"/>
        <w:rPr>
          <w:caps w:val="false"/>
          <w:smallCaps w:val="false"/>
        </w:rPr>
      </w:pPr>
      <w:r>
        <w:rPr>
          <w:caps w:val="false"/>
          <w:smallCaps w:val="false"/>
        </w:rPr>
        <w:drawing>
          <wp:inline distT="0" distB="0" distL="0" distR="0">
            <wp:extent cx="3333750" cy="3019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3019425"/>
                    </a:xfrm>
                    <a:prstGeom prst="rect">
                      <a:avLst/>
                    </a:prstGeom>
                  </pic:spPr>
                </pic:pic>
              </a:graphicData>
            </a:graphic>
          </wp:inline>
        </w:drawing>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Griffon Corporation Announces Closing of Senior Notes Offering and</w:t>
        <w:br/>
        <w:t xml:space="preserve">Amended Credit Facility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NEW YORK – August 18, 2026 </w:t>
      </w:r>
      <w:r>
        <w:rPr>
          <w:rFonts w:ascii="Times New Roman;Times;Serif" w:hAnsi="Times New Roman;Times;Serif"/>
          <w:b w:val="false"/>
          <w:i w:val="false"/>
          <w:caps w:val="false"/>
          <w:smallCaps w:val="false"/>
          <w:sz w:val="20"/>
        </w:rPr>
        <w:t>– Griffon Corporation (NYSE: GFF) (“Griffon” or the “Company”) today announced the closing of its previously announced senior notes offering of $800 million aggregate principal amount of 6.25% senior notes due 2034 (the “2034 Notes”) in an unregistered offering through a private placement and the amendment and restatement of its existing credit agreement to extend maturity from August 1, 2028 to August 18, 2031 (the “New Credit Facility”).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Offering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2034 Notes are senior unsecured obligations of Griffon and are guaranteed by certain of its domestic subsidiaries. The 2034 Notes and related guarantees were offered in a private placement solely to qualified institutional buyers in reliance on Rule 144A under the Securities Act of 1933, as amended (the “Securities Act”), or outside the United States to persons other than “U.S. persons” in compliance with Regulation S under the Securities Act. The 2034 Notes and related guarantees have not been registered under the Securities Act or the securities laws of any other jurisdiction and may not be offered or sold in the United States absent registration or an applicable exemption from the registration requirements thereunder.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Griffon issued a notice of redemption with respect to all of its outstanding 5.75% senior notes due 2028 (the “2028 Notes”). Following completion of the redemption, none of the 2028 Notes will remain outstanding.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purchase or redeem any of the 2028 Notes. This press release is being issued pursuant to and in accordance with Rule 135c under the Securities 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Credit Facility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acts as administrative agent under the New Credit Facility, which provides for revolver borrowings in an aggregate principal amount of up to $500 million, and contains a $125 million letter of credit sub-facility and a $200 million foreign currency sub-facility (all unchanged from the prior credit facility). The New Credit Facility permits the Company, subject to certain conditions, to incur incremental revolving commitments, incremental term loans and certain other incremental equivalent debt in an aggregate amount up to the greater of $500 million and an additional amount determined by reference to a maximum consolidated senior secured leverage ratio of 3.50 to 1.00.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may elect to pay interest based on either a SOFR or base rate benchmark plus an applicable margin that depends on Griffon’s leverage ratio. Initial pricing is SOFR plus 1.75% or base rate plus 0.75%. The New Credit Facility is guaranteed by certain of Griffon’s material domestic subsidiaries and is secured by substantially all the assets of Griffon and each of its subsidiary guarantors. The New Credit Facility also contains customary financial and other affirmative covenants, negative covenants and events of default.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Griffon Corporation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leading provider of residential, industrial, and commercial ceiling fans sold under the Hunter, Casablanca, and Jan Fan brands.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Griffon, please see the Company’s website at www.griffon.com.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Forward-Looking Statements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that may state Griffon’s or its management’s intentions, beliefs, expectations or predictions for the future. Such forward-looking statements are subject to certain risks, uncertainties and assumptions, and typically can be identified by the use of words such as “intend,” “will,” “expect,” “estimate,” “anticipate,” “forecast,” “plan,” “believe” and similar terms. Although Griffon believes that its expectations are reasonable, it can give no assurance that these expectations will prove to have been correct, and actual results may vary materially. Factors that could cause actual results to differ materially from those contemplated above include, among others, risks and uncertainties related to the capital markets generally, the anticipated use of proceeds in the 2034 Notes offering, and other factors detailed in filings made by Griffon with the Securities and Exchange Commission. Investors are cautioned not to place undue reliance on these forward-looking statements, which speak only as of the date hereof. Griffon does not undertake to update any of these statements in light of new information or future events.</w:t>
      </w:r>
    </w:p>
    <w:p>
      <w:pPr>
        <w:pStyle w:val="TextBody"/>
        <w:bidi w:val="0"/>
        <w:jc w:val="left"/>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1895"/>
        <w:gridCol w:w="2270"/>
      </w:tblGrid>
      <w:tr>
        <w:trPr/>
        <w:tc>
          <w:tcPr>
            <w:tcW w:w="1895" w:type="dxa"/>
            <w:tcBorders>
              <w:bottom w:val="single" w:sz="2" w:space="0" w:color="000000"/>
            </w:tcBorders>
            <w:vAlign w:val="center"/>
          </w:tcPr>
          <w:p>
            <w:pPr>
              <w:pStyle w:val="TableContents"/>
              <w:bidi w:val="0"/>
              <w:spacing w:before="0" w:after="283"/>
              <w:jc w:val="left"/>
              <w:rPr>
                <w:sz w:val="20"/>
              </w:rPr>
            </w:pPr>
            <w:r>
              <w:rPr>
                <w:sz w:val="20"/>
              </w:rPr>
              <w:t>Company Contact:</w:t>
            </w:r>
          </w:p>
        </w:tc>
        <w:tc>
          <w:tcPr>
            <w:tcW w:w="2270" w:type="dxa"/>
            <w:tcBorders>
              <w:bottom w:val="single" w:sz="2" w:space="0" w:color="000000"/>
            </w:tcBorders>
            <w:vAlign w:val="center"/>
          </w:tcPr>
          <w:p>
            <w:pPr>
              <w:pStyle w:val="TableContents"/>
              <w:bidi w:val="0"/>
              <w:spacing w:before="0" w:after="283"/>
              <w:jc w:val="left"/>
              <w:rPr>
                <w:sz w:val="20"/>
              </w:rPr>
            </w:pPr>
            <w:r>
              <w:rPr>
                <w:sz w:val="20"/>
              </w:rPr>
              <w:t>Investor Relations Contact:</w:t>
            </w:r>
          </w:p>
        </w:tc>
      </w:tr>
      <w:tr>
        <w:trPr/>
        <w:tc>
          <w:tcPr>
            <w:tcW w:w="1895" w:type="dxa"/>
            <w:tcBorders>
              <w:bottom w:val="single" w:sz="2" w:space="0" w:color="000000"/>
            </w:tcBorders>
            <w:vAlign w:val="center"/>
          </w:tcPr>
          <w:p>
            <w:pPr>
              <w:pStyle w:val="TableContents"/>
              <w:bidi w:val="0"/>
              <w:spacing w:before="0" w:after="283"/>
              <w:jc w:val="left"/>
              <w:rPr>
                <w:sz w:val="20"/>
              </w:rPr>
            </w:pPr>
            <w:r>
              <w:rPr>
                <w:sz w:val="20"/>
              </w:rPr>
              <w:t>Brian G. Harris</w:t>
            </w:r>
          </w:p>
        </w:tc>
        <w:tc>
          <w:tcPr>
            <w:tcW w:w="2270" w:type="dxa"/>
            <w:tcBorders>
              <w:bottom w:val="single" w:sz="2" w:space="0" w:color="000000"/>
            </w:tcBorders>
            <w:vAlign w:val="center"/>
          </w:tcPr>
          <w:p>
            <w:pPr>
              <w:pStyle w:val="TableContents"/>
              <w:bidi w:val="0"/>
              <w:spacing w:before="0" w:after="283"/>
              <w:jc w:val="left"/>
              <w:rPr>
                <w:sz w:val="20"/>
              </w:rPr>
            </w:pPr>
            <w:r>
              <w:rPr>
                <w:sz w:val="20"/>
              </w:rPr>
              <w:t>Tom Cook</w:t>
            </w:r>
          </w:p>
        </w:tc>
      </w:tr>
      <w:tr>
        <w:trPr/>
        <w:tc>
          <w:tcPr>
            <w:tcW w:w="1895" w:type="dxa"/>
            <w:tcBorders/>
            <w:tcMar>
              <w:bottom w:w="0" w:type="dxa"/>
            </w:tcMar>
            <w:vAlign w:val="center"/>
          </w:tcPr>
          <w:p>
            <w:pPr>
              <w:pStyle w:val="TableContents"/>
              <w:bidi w:val="0"/>
              <w:spacing w:before="0" w:after="283"/>
              <w:jc w:val="left"/>
              <w:rPr>
                <w:sz w:val="20"/>
              </w:rPr>
            </w:pPr>
            <w:r>
              <w:rPr>
                <w:sz w:val="20"/>
              </w:rPr>
              <w:t>Chief Financial Officer</w:t>
            </w:r>
          </w:p>
        </w:tc>
        <w:tc>
          <w:tcPr>
            <w:tcW w:w="2270" w:type="dxa"/>
            <w:tcBorders/>
            <w:tcMar>
              <w:bottom w:w="0" w:type="dxa"/>
            </w:tcMar>
            <w:vAlign w:val="center"/>
          </w:tcPr>
          <w:p>
            <w:pPr>
              <w:pStyle w:val="TableContents"/>
              <w:bidi w:val="0"/>
              <w:spacing w:before="0" w:after="283"/>
              <w:jc w:val="left"/>
              <w:rPr>
                <w:sz w:val="20"/>
              </w:rPr>
            </w:pPr>
            <w:r>
              <w:rPr>
                <w:sz w:val="20"/>
              </w:rPr>
              <w:t>Managing Director</w:t>
            </w:r>
          </w:p>
        </w:tc>
      </w:tr>
      <w:tr>
        <w:trPr/>
        <w:tc>
          <w:tcPr>
            <w:tcW w:w="1895" w:type="dxa"/>
            <w:tcBorders/>
            <w:tcMar>
              <w:bottom w:w="0" w:type="dxa"/>
            </w:tcMar>
            <w:vAlign w:val="center"/>
          </w:tcPr>
          <w:p>
            <w:pPr>
              <w:pStyle w:val="TableContents"/>
              <w:bidi w:val="0"/>
              <w:spacing w:before="0" w:after="283"/>
              <w:jc w:val="left"/>
              <w:rPr>
                <w:sz w:val="20"/>
              </w:rPr>
            </w:pPr>
            <w:r>
              <w:rPr>
                <w:sz w:val="20"/>
              </w:rPr>
              <w:t>Griffon Corporation</w:t>
            </w:r>
          </w:p>
        </w:tc>
        <w:tc>
          <w:tcPr>
            <w:tcW w:w="2270" w:type="dxa"/>
            <w:tcBorders/>
            <w:tcMar>
              <w:bottom w:w="0" w:type="dxa"/>
            </w:tcMar>
            <w:vAlign w:val="center"/>
          </w:tcPr>
          <w:p>
            <w:pPr>
              <w:pStyle w:val="TableContents"/>
              <w:bidi w:val="0"/>
              <w:spacing w:before="0" w:after="283"/>
              <w:jc w:val="left"/>
              <w:rPr>
                <w:sz w:val="20"/>
              </w:rPr>
            </w:pPr>
            <w:r>
              <w:rPr>
                <w:sz w:val="20"/>
              </w:rPr>
              <w:t>ICR Inc.</w:t>
            </w:r>
          </w:p>
        </w:tc>
      </w:tr>
      <w:tr>
        <w:trPr/>
        <w:tc>
          <w:tcPr>
            <w:tcW w:w="1895" w:type="dxa"/>
            <w:tcBorders/>
            <w:tcMar>
              <w:bottom w:w="0" w:type="dxa"/>
            </w:tcMar>
            <w:vAlign w:val="center"/>
          </w:tcPr>
          <w:p>
            <w:pPr>
              <w:pStyle w:val="TableContents"/>
              <w:bidi w:val="0"/>
              <w:spacing w:before="0" w:after="283"/>
              <w:jc w:val="left"/>
              <w:rPr>
                <w:sz w:val="20"/>
              </w:rPr>
            </w:pPr>
            <w:r>
              <w:rPr>
                <w:sz w:val="20"/>
              </w:rPr>
              <w:t>(212) 957-5000</w:t>
            </w:r>
          </w:p>
        </w:tc>
        <w:tc>
          <w:tcPr>
            <w:tcW w:w="2270" w:type="dxa"/>
            <w:tcBorders/>
            <w:tcMar>
              <w:bottom w:w="0" w:type="dxa"/>
            </w:tcMar>
            <w:vAlign w:val="center"/>
          </w:tcPr>
          <w:p>
            <w:pPr>
              <w:pStyle w:val="TableContents"/>
              <w:bidi w:val="0"/>
              <w:spacing w:before="0" w:after="283"/>
              <w:jc w:val="left"/>
              <w:rPr>
                <w:sz w:val="20"/>
              </w:rPr>
            </w:pPr>
            <w:r>
              <w:rPr>
                <w:sz w:val="20"/>
              </w:rPr>
              <w:t>(203) 682-8250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231</Pages>
  <Words>153996</Words>
  <Characters>813579</Characters>
  <CharactersWithSpaces>967042</CharactersWithSpaces>
  <Paragraphs>6526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