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MEHMEL ROBERT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40"/>
        <w:spacing w:after="0" w:line="320" w:lineRule="auto"/>
        <w:rPr>
          <w:sz w:val="20"/>
          <w:szCs w:val="20"/>
          <w:color w:val="auto"/>
        </w:rPr>
      </w:pPr>
      <w:r>
        <w:rPr>
          <w:rFonts w:ascii="Times New Roman" w:cs="Times New Roman" w:eastAsia="Times New Roman" w:hAnsi="Times New Roman"/>
          <w:sz w:val="17"/>
          <w:szCs w:val="17"/>
          <w:color w:val="0000FF"/>
        </w:rPr>
        <w:t>C/O GRIFFON CORPORATION 712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GRIFFON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4,166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97.76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rPr>
              <w:t>785,900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4,219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$97.50 to $98.37, inclusive. The reporting person undertakes to provide Griffon Corporation, any security holder of Griffon Corporation, or the staff of the Securities and Exchange Commission, upon request, full information regarding the number of shares disposed of at each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Seth L. Kaplan, as</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289" TargetMode="External"/><Relationship Id="rId14" Type="http://schemas.openxmlformats.org/officeDocument/2006/relationships/hyperlink" Target="http://www.sec.gov/cgi-bin/browse-edgar?action=getcompany&amp;CIK=000005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2026-07-02T16:11:34Z</dcterms:created>
  <dcterms:modified xsi:type="dcterms:W3CDTF">2026-07-02T16:11:34Z</dcterms:modified>
</cp:coreProperties>
</file>