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KRAMER RONALD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60"/>
        <w:spacing w:after="0" w:line="336" w:lineRule="auto"/>
        <w:rPr>
          <w:sz w:val="20"/>
          <w:szCs w:val="20"/>
          <w:color w:val="auto"/>
        </w:rPr>
      </w:pPr>
      <w:r>
        <w:rPr>
          <w:rFonts w:ascii="Times New Roman" w:cs="Times New Roman" w:eastAsia="Times New Roman" w:hAnsi="Times New Roman"/>
          <w:sz w:val="17"/>
          <w:szCs w:val="17"/>
          <w:color w:val="0000FF"/>
        </w:rPr>
        <w:t>C/O GRIFFON CORPORATION 712 FIFTH AVENUE,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GRIFFON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Chairman of the Board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51,029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95.21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1,833,268</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48,971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94.62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1,784,297</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5,240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40,298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$95.00 to $95.92, inclusive. The reporting person undertakes to provide Griffon Corporation, any security holder of Griffon Corporation, or the staff of the Securities and Exchange Commission, upon request, full information regarding the number of shares disposed of at each price within the ranges set forth in footnotes (1) and (2)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$94.10 to $94.995,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Seth L. Kaplan, as</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5908" TargetMode="External"/><Relationship Id="rId14" Type="http://schemas.openxmlformats.org/officeDocument/2006/relationships/hyperlink" Target="http://www.sec.gov/cgi-bin/browse-edgar?action=getcompany&amp;CIK=000005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2026-06-15T16:13:02Z</dcterms:created>
  <dcterms:modified xsi:type="dcterms:W3CDTF">2026-06-15T16:13:02Z</dcterms:modified>
</cp:coreProperties>
</file>