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014.xml.htm"/>
      <w:bookmarkStart w:id="1" w:name="kswkform4_17866530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MEHMEL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GRIFFON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GRIFFON CORP</w:t>
              </w:r>
            </w:hyperlink>
            <w:r>
              <w:rPr/>
              <w:t xml:space="preserve"> [ </w:t>
            </w:r>
            <w:r>
              <w:rPr>
                <w:rFonts w:ascii="Times;serif" w:hAnsi="Times;serif"/>
                <w:color w:val="0000FF"/>
                <w:sz w:val="24"/>
                <w:shd w:fill="FFFFFF" w:val="clear"/>
              </w:rPr>
              <w:t>GFF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107.16</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723,032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$107.00 to $107.72, inclusive. The reporting person undertakes to provide Griffon Corporation, any security holder of Griffon Corporation, or the staff of the Securities and Exchange Commission, upon request, full information regarding the number of shares disposed of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L. Kaplan,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289" TargetMode="External"/><Relationship Id="rId5" Type="http://schemas.openxmlformats.org/officeDocument/2006/relationships/hyperlink" Target="http://www.sec.gov/cgi-bin/browse-edgar?action=getcompany&amp;CIK=000005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3499</Characters>
  <CharactersWithSpaces>4072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