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MEHMEL ROBERT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20" w:lineRule="auto"/>
        <w:rPr>
          <w:sz w:val="20"/>
          <w:szCs w:val="20"/>
          <w:color w:val="auto"/>
        </w:rPr>
      </w:pPr>
      <w:r>
        <w:rPr>
          <w:rFonts w:ascii="Times New Roman" w:cs="Times New Roman" w:eastAsia="Times New Roman" w:hAnsi="Times New Roman"/>
          <w:sz w:val="17"/>
          <w:szCs w:val="17"/>
          <w:color w:val="0000FF"/>
        </w:rPr>
        <w:t>C/O GRIFFON CORPORATION 712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GRIFFON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44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4,626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95.45</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798,325</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96.03</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798,225</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5,149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95.62</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793,076</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96.41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791,542</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1,190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97.27</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790,352</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4,219</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$95.02 to $95.98, inclusive. The reporting person undertakes to provide Griffon Corporation, any security holder of Griffon Corporation, or the staff of the Securities and Exchange Commission, upon request, full information regarding the number of shares disposed of at each price within the ranges set forth in footnotes (1), (2),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$95.11 to $95.97,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$96.00 to $96.80,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$97.02 to $97.64,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Seth L. Kaplan, as</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289" TargetMode="External"/><Relationship Id="rId14" Type="http://schemas.openxmlformats.org/officeDocument/2006/relationships/hyperlink" Target="http://www.sec.gov/cgi-bin/browse-edgar?action=getcompany&amp;CIK=000005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2026-06-26T18:02:40Z</dcterms:created>
  <dcterms:modified xsi:type="dcterms:W3CDTF">2026-06-26T18:02:40Z</dcterms:modified>
</cp:coreProperties>
</file>