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6021.xml.htm"/>
      <w:bookmarkStart w:id="1" w:name="kswkform4_17830260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Harris Brian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GRIFFON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 FIFTH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GRIFFON CORP</w:t>
              </w:r>
            </w:hyperlink>
            <w:r>
              <w:rPr/>
              <w:t xml:space="preserve"> [ </w:t>
            </w:r>
            <w:r>
              <w:rPr>
                <w:rFonts w:ascii="Times;serif" w:hAnsi="Times;serif"/>
                <w:color w:val="0000FF"/>
                <w:sz w:val="24"/>
                <w:shd w:fill="FFFFFF" w:val="clear"/>
              </w:rPr>
              <w:t>GFF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98.01</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144,966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$98.00 to $98.37, inclusive. The reporting person undertakes to provide Griffon Corporation, any security holder of Griffon Corporation, or the staff of the Securities and Exchange Commission, upon request, full information regarding the number of shares disposed of at each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Seth L. Kaplan,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70077" TargetMode="External"/><Relationship Id="rId5" Type="http://schemas.openxmlformats.org/officeDocument/2006/relationships/hyperlink" Target="http://www.sec.gov/cgi-bin/browse-edgar?action=getcompany&amp;CIK=0000050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3485</Characters>
  <CharactersWithSpaces>4063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