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2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11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9"/>
          <w:szCs w:val="29"/>
          <w:b w:val="1"/>
          <w:bCs w:val="1"/>
          <w:color w:val="auto"/>
        </w:rPr>
        <w:t>GRIFFON CORPORATION</w:t>
      </w:r>
    </w:p>
    <w:p>
      <w:pPr>
        <w:spacing w:after="0" w:line="4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46" w:lineRule="exact"/>
        <w:rPr>
          <w:sz w:val="24"/>
          <w:szCs w:val="24"/>
          <w:color w:val="auto"/>
        </w:rPr>
      </w:pPr>
    </w:p>
    <w:tbl>
      <w:tblPr>
        <w:tblLayout w:type="fixed"/>
        <w:tblInd w:w="2900" w:type="dxa"/>
        <w:tblCellMar>
          <w:top w:w="0" w:type="dxa"/>
          <w:left w:w="0" w:type="dxa"/>
          <w:bottom w:w="0" w:type="dxa"/>
          <w:right w:w="0" w:type="dxa"/>
        </w:tblCellMar>
      </w:tblPr>
      <w:tr>
        <w:trPr>
          <w:trHeight w:val="286"/>
        </w:trPr>
        <w:tc>
          <w:tcPr>
            <w:tcW w:w="19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8"/>
              </w:rPr>
              <w:t>001-06620</w:t>
            </w:r>
          </w:p>
        </w:tc>
        <w:tc>
          <w:tcPr>
            <w:tcW w:w="20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11-1893410</w:t>
            </w:r>
          </w:p>
        </w:tc>
        <w:tc>
          <w:tcPr>
            <w:tcW w:w="0" w:type="dxa"/>
            <w:vAlign w:val="bottom"/>
          </w:tcPr>
          <w:p>
            <w:pPr>
              <w:spacing w:after="0"/>
              <w:rPr>
                <w:sz w:val="1"/>
                <w:szCs w:val="1"/>
                <w:color w:val="auto"/>
              </w:rPr>
            </w:pPr>
          </w:p>
        </w:tc>
      </w:tr>
      <w:tr>
        <w:trPr>
          <w:trHeight w:val="258"/>
        </w:trPr>
        <w:tc>
          <w:tcPr>
            <w:tcW w:w="1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(State or Other</w:t>
            </w:r>
          </w:p>
        </w:tc>
        <w:tc>
          <w:tcPr>
            <w:tcW w:w="248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8"/>
              </w:rPr>
              <w:t>(Commission File</w:t>
            </w:r>
          </w:p>
        </w:tc>
        <w:tc>
          <w:tcPr>
            <w:tcW w:w="202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(I.R.S. Employer</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Jurisdiction of</w:t>
            </w:r>
          </w:p>
        </w:tc>
        <w:tc>
          <w:tcPr>
            <w:tcW w:w="248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Incorporation)</w:t>
            </w:r>
          </w:p>
        </w:tc>
        <w:tc>
          <w:tcPr>
            <w:tcW w:w="24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Number)</w:t>
            </w:r>
          </w:p>
        </w:tc>
        <w:tc>
          <w:tcPr>
            <w:tcW w:w="2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Identification No.)</w:t>
            </w:r>
          </w:p>
        </w:tc>
        <w:tc>
          <w:tcPr>
            <w:tcW w:w="0" w:type="dxa"/>
            <w:vAlign w:val="bottom"/>
          </w:tcPr>
          <w:p>
            <w:pPr>
              <w:spacing w:after="0"/>
              <w:rPr>
                <w:sz w:val="1"/>
                <w:szCs w:val="1"/>
                <w:color w:val="auto"/>
              </w:rPr>
            </w:pPr>
          </w:p>
        </w:tc>
      </w:tr>
      <w:tr>
        <w:trPr>
          <w:trHeight w:val="352"/>
        </w:trPr>
        <w:tc>
          <w:tcPr>
            <w:tcW w:w="1960" w:type="dxa"/>
            <w:vAlign w:val="bottom"/>
          </w:tcPr>
          <w:p>
            <w:pPr>
              <w:spacing w:after="0"/>
              <w:rPr>
                <w:sz w:val="24"/>
                <w:szCs w:val="24"/>
                <w:color w:val="auto"/>
              </w:rPr>
            </w:pPr>
          </w:p>
        </w:tc>
        <w:tc>
          <w:tcPr>
            <w:tcW w:w="24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712 Fifth Avenue,</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2480" w:type="dxa"/>
            <w:vAlign w:val="bottom"/>
          </w:tcPr>
          <w:p>
            <w:pPr>
              <w:jc w:val="center"/>
              <w:ind w:right="332"/>
              <w:spacing w:after="0" w:line="265" w:lineRule="exact"/>
              <w:rPr>
                <w:sz w:val="20"/>
                <w:szCs w:val="20"/>
                <w:color w:val="auto"/>
              </w:rPr>
            </w:pPr>
            <w:r>
              <w:rPr>
                <w:rFonts w:ascii="Times New Roman" w:cs="Times New Roman" w:eastAsia="Times New Roman" w:hAnsi="Times New Roman"/>
                <w:sz w:val="22"/>
                <w:szCs w:val="22"/>
                <w:b w:val="1"/>
                <w:bCs w:val="1"/>
                <w:color w:val="auto"/>
                <w:w w:val="92"/>
              </w:rPr>
              <w:t>18</w:t>
            </w:r>
            <w:r>
              <w:rPr>
                <w:rFonts w:ascii="Times New Roman" w:cs="Times New Roman" w:eastAsia="Times New Roman" w:hAnsi="Times New Roman"/>
                <w:sz w:val="28"/>
                <w:szCs w:val="28"/>
                <w:b w:val="1"/>
                <w:bCs w:val="1"/>
                <w:color w:val="auto"/>
                <w:w w:val="92"/>
                <w:vertAlign w:val="superscript"/>
              </w:rPr>
              <w:t>th</w:t>
            </w:r>
            <w:r>
              <w:rPr>
                <w:rFonts w:ascii="Times New Roman" w:cs="Times New Roman" w:eastAsia="Times New Roman" w:hAnsi="Times New Roman"/>
                <w:sz w:val="22"/>
                <w:szCs w:val="22"/>
                <w:b w:val="1"/>
                <w:bCs w:val="1"/>
                <w:color w:val="auto"/>
                <w:w w:val="92"/>
              </w:rPr>
              <w:t xml:space="preserve"> Floor</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2480" w:type="dxa"/>
            <w:vAlign w:val="bottom"/>
          </w:tcPr>
          <w:p>
            <w:pPr>
              <w:jc w:val="center"/>
              <w:ind w:left="112"/>
              <w:spacing w:after="0" w:line="221" w:lineRule="exact"/>
              <w:rPr>
                <w:sz w:val="20"/>
                <w:szCs w:val="20"/>
                <w:color w:val="auto"/>
              </w:rPr>
            </w:pPr>
            <w:r>
              <w:rPr>
                <w:rFonts w:ascii="Times New Roman" w:cs="Times New Roman" w:eastAsia="Times New Roman" w:hAnsi="Times New Roman"/>
                <w:sz w:val="22"/>
                <w:szCs w:val="22"/>
                <w:b w:val="1"/>
                <w:bCs w:val="1"/>
                <w:color w:val="auto"/>
                <w:w w:val="95"/>
              </w:rPr>
              <w:t>New York, New York</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960" w:type="dxa"/>
            <w:vAlign w:val="bottom"/>
          </w:tcPr>
          <w:p>
            <w:pPr>
              <w:spacing w:after="0"/>
              <w:rPr>
                <w:sz w:val="24"/>
                <w:szCs w:val="24"/>
                <w:color w:val="auto"/>
              </w:rPr>
            </w:pPr>
          </w:p>
        </w:tc>
        <w:tc>
          <w:tcPr>
            <w:tcW w:w="2480" w:type="dxa"/>
            <w:vAlign w:val="bottom"/>
          </w:tcPr>
          <w:p>
            <w:pPr>
              <w:jc w:val="center"/>
              <w:ind w:right="312"/>
              <w:spacing w:after="0"/>
              <w:rPr>
                <w:sz w:val="20"/>
                <w:szCs w:val="20"/>
                <w:color w:val="auto"/>
              </w:rPr>
            </w:pPr>
            <w:r>
              <w:rPr>
                <w:rFonts w:ascii="Times New Roman" w:cs="Times New Roman" w:eastAsia="Times New Roman" w:hAnsi="Times New Roman"/>
                <w:sz w:val="22"/>
                <w:szCs w:val="22"/>
                <w:b w:val="1"/>
                <w:bCs w:val="1"/>
                <w:color w:val="auto"/>
                <w:w w:val="98"/>
              </w:rPr>
              <w:t>10019</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280"/>
        <w:spacing w:after="0" w:line="211" w:lineRule="auto"/>
        <w:rPr>
          <w:sz w:val="20"/>
          <w:szCs w:val="20"/>
          <w:color w:val="auto"/>
        </w:rPr>
      </w:pPr>
      <w:r>
        <w:rPr>
          <w:rFonts w:ascii="Times New Roman" w:cs="Times New Roman" w:eastAsia="Times New Roman" w:hAnsi="Times New Roman"/>
          <w:sz w:val="22"/>
          <w:szCs w:val="22"/>
          <w:color w:val="auto"/>
        </w:rPr>
        <w:t>(Address of Principal</w:t>
      </w:r>
    </w:p>
    <w:p>
      <w:pPr>
        <w:spacing w:after="0" w:line="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2"/>
          <w:szCs w:val="22"/>
          <w:color w:val="auto"/>
        </w:rPr>
        <w:t>Executive Offices) (Zip Code)</w:t>
      </w:r>
    </w:p>
    <w:p>
      <w:pPr>
        <w:spacing w:after="0" w:line="9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(212) 957-5000</w:t>
      </w:r>
    </w:p>
    <w:p>
      <w:pPr>
        <w:spacing w:after="0" w:line="8" w:lineRule="exact"/>
        <w:rPr>
          <w:sz w:val="24"/>
          <w:szCs w:val="24"/>
          <w:color w:val="auto"/>
        </w:rPr>
      </w:pPr>
    </w:p>
    <w:p>
      <w:pPr>
        <w:ind w:left="5660"/>
        <w:spacing w:after="0"/>
        <w:rPr>
          <w:sz w:val="20"/>
          <w:szCs w:val="20"/>
          <w:color w:val="auto"/>
        </w:rPr>
      </w:pPr>
      <w:r>
        <w:rPr>
          <w:rFonts w:ascii="Times New Roman" w:cs="Times New Roman" w:eastAsia="Times New Roman" w:hAnsi="Times New Roman"/>
          <w:sz w:val="22"/>
          <w:szCs w:val="22"/>
          <w:color w:val="auto"/>
        </w:rPr>
        <w:t>(Registrant’s</w:t>
      </w:r>
    </w:p>
    <w:p>
      <w:pPr>
        <w:jc w:val="center"/>
        <w:ind w:left="500"/>
        <w:spacing w:after="0" w:line="204" w:lineRule="auto"/>
        <w:rPr>
          <w:sz w:val="20"/>
          <w:szCs w:val="20"/>
          <w:color w:val="auto"/>
        </w:rPr>
      </w:pPr>
      <w:r>
        <w:rPr>
          <w:rFonts w:ascii="Times New Roman" w:cs="Times New Roman" w:eastAsia="Times New Roman" w:hAnsi="Times New Roman"/>
          <w:sz w:val="22"/>
          <w:szCs w:val="22"/>
          <w:color w:val="auto"/>
        </w:rPr>
        <w:t>telephone number, including</w:t>
      </w:r>
    </w:p>
    <w:p>
      <w:pPr>
        <w:spacing w:after="0" w:line="1"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area code)</w:t>
      </w:r>
    </w:p>
    <w:p>
      <w:pPr>
        <w:spacing w:after="0" w:line="138"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22"/>
          <w:szCs w:val="22"/>
          <w:color w:val="auto"/>
        </w:rPr>
        <w:t>(Former name or</w:t>
      </w:r>
    </w:p>
    <w:p>
      <w:pPr>
        <w:ind w:left="4720"/>
        <w:spacing w:after="0" w:line="204" w:lineRule="auto"/>
        <w:rPr>
          <w:sz w:val="20"/>
          <w:szCs w:val="20"/>
          <w:color w:val="auto"/>
        </w:rPr>
      </w:pPr>
      <w:r>
        <w:rPr>
          <w:rFonts w:ascii="Times New Roman" w:cs="Times New Roman" w:eastAsia="Times New Roman" w:hAnsi="Times New Roman"/>
          <w:sz w:val="22"/>
          <w:szCs w:val="22"/>
          <w:color w:val="auto"/>
        </w:rPr>
        <w:t>former address, if changed</w:t>
      </w:r>
    </w:p>
    <w:p>
      <w:pPr>
        <w:spacing w:after="0" w:line="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2"/>
          <w:szCs w:val="22"/>
          <w:color w:val="auto"/>
        </w:rPr>
        <w:t>since last report.)</w:t>
      </w:r>
    </w:p>
    <w:p>
      <w:pPr>
        <w:spacing w:after="0" w:line="142" w:lineRule="exact"/>
        <w:rPr>
          <w:sz w:val="24"/>
          <w:szCs w:val="24"/>
          <w:color w:val="auto"/>
        </w:rPr>
      </w:pPr>
    </w:p>
    <w:p>
      <w:pPr>
        <w:ind w:firstLine="216"/>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ectPr>
          <w:pgSz w:w="11900" w:h="16838" w:orient="portrait"/>
          <w:cols w:equalWidth="0" w:num="1">
            <w:col w:w="10540"/>
          </w:cols>
          <w:pgMar w:left="320" w:top="1056" w:right="10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056" w:right="10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286"/>
        </w:trPr>
        <w:tc>
          <w:tcPr>
            <w:tcW w:w="356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 each exchange on which registered</w:t>
            </w:r>
          </w:p>
        </w:tc>
      </w:tr>
      <w:tr>
        <w:trPr>
          <w:trHeight w:val="277"/>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$0.25 par value</w:t>
            </w:r>
          </w:p>
        </w:tc>
        <w:tc>
          <w:tcPr>
            <w:tcW w:w="12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GFF</w:t>
            </w:r>
          </w:p>
        </w:tc>
        <w:tc>
          <w:tcPr>
            <w:tcW w:w="120" w:type="dxa"/>
            <w:vAlign w:val="bottom"/>
          </w:tcPr>
          <w:p>
            <w:pPr>
              <w:spacing w:after="0"/>
              <w:rPr>
                <w:sz w:val="24"/>
                <w:szCs w:val="24"/>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jc w:val="center"/>
        <w:ind w:right="180"/>
        <w:spacing w:after="0" w:line="253" w:lineRule="exact"/>
        <w:tabs>
          <w:tab w:leader="none" w:pos="280" w:val="left"/>
        </w:tabs>
        <w:rPr>
          <w:sz w:val="20"/>
          <w:szCs w:val="20"/>
          <w:color w:val="auto"/>
        </w:rPr>
      </w:pPr>
      <w:r>
        <w:rPr>
          <w:rFonts w:ascii="Times New Roman" w:cs="Times New Roman" w:eastAsia="Times New Roman" w:hAnsi="Times New Roman"/>
          <w:sz w:val="22"/>
          <w:szCs w:val="22"/>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356" w:lineRule="exact"/>
        <w:rPr>
          <w:sz w:val="20"/>
          <w:szCs w:val="20"/>
          <w:color w:val="auto"/>
        </w:rPr>
      </w:pPr>
    </w:p>
    <w:p>
      <w:pPr>
        <w:jc w:val="both"/>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On May 7, 2026 Griffon Corporation (the “Registrant”) issued a press release announcing the Registrant’s financial results for the fiscal second quarter ended March 31, 2026. A copy of the Registrant’s press release is attached hereto as Exhibit 99.1.</w:t>
      </w:r>
    </w:p>
    <w:p>
      <w:pPr>
        <w:spacing w:after="0" w:line="2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47"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May 7, 2026</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information filed as an exhibit to this Form 8-K is being furnished in accordance with Item 2.02 and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GRIFFON CORPORATION</w:t>
      </w:r>
    </w:p>
    <w:p>
      <w:pPr>
        <w:spacing w:after="0" w:line="166" w:lineRule="exact"/>
        <w:rPr>
          <w:sz w:val="20"/>
          <w:szCs w:val="20"/>
          <w:color w:val="auto"/>
        </w:rPr>
      </w:pPr>
    </w:p>
    <w:p>
      <w:pPr>
        <w:ind w:left="4880"/>
        <w:spacing w:after="0"/>
        <w:tabs>
          <w:tab w:leader="none" w:pos="5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Brian G.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-13970</wp:posOffset>
            </wp:positionV>
            <wp:extent cx="1150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Brian G. Harris</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EVP and Chief Financial Officer</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May 7, 2026</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3" w:name="page4"/>
    <w:bookmarkEnd w:id="3"/>
    <w:p>
      <w:pPr>
        <w:ind w:left="42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9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u w:val="single" w:color="auto"/>
          <w:color w:val="0000FF"/>
        </w:rPr>
        <w:t>99.1 Press release, dated May 7, 2026</w:t>
      </w:r>
    </w:p>
    <w:p>
      <w:pPr>
        <w:sectPr>
          <w:pgSz w:w="11900" w:h="16838" w:orient="portrait"/>
          <w:cols w:equalWidth="0" w:num="1">
            <w:col w:w="9019"/>
          </w:cols>
          <w:pgMar w:left="1440" w:top="932"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603250</wp:posOffset>
            </wp:positionV>
            <wp:extent cx="308610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0861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u w:val="single" w:color="auto"/>
          <w:color w:val="auto"/>
        </w:rPr>
        <w:t>Griffon Corporation Announces Second Quarter Results</w:t>
      </w:r>
    </w:p>
    <w:p>
      <w:pPr>
        <w:spacing w:after="0" w:line="2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NEW YORK, NEW YORK, May 7, 2026 – Griffon Corporation (“Griffon” or the “Company”) (NYSE:GFF) today reported results for the fiscal 2026 second quarter ended March 31, 2026.</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Revenue for the second quarter totaled $421.9 million, a 1% decrease compared to $426.7 million in the prior year quarter, due to decreased volume of 6% primarily driven by residential, partially offset by favorable price and mix of 5% driven by both residential and commercial.</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Income from continuing operations totaled $46.9 million, or $1.03 per share, compared to $49.8 million, or $1.06 per share, in the prior year quarter. Excluding all items that affect comparability from both periods, adjusted income from continuing operations (a non-GAAP measure) was $48.1 million, or $1.05 per share, in the current year quarter compared to $49.5 million, or $1.05 per share, in the prior year quarter. For a reconciliation of income from continuing operations to adjusted income from continuing operations (a non-GAAP measure), and earnings per share from continuing operations to adjusted earnings per share from continuing operations (a non-GAAP measure), see the attached table.</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Adjusted EBITDA from continuing operations for the second quarter was $97.8 million, a 4% decrease from the prior year quarter of $101.7 million, driven by the decreased revenue noted above, the unfavorable impact of decreased volume on overhead absorption, and increased material costs. For a definition of adjusted EBITDA and a reconciliation of net income to adjusted EBITDA (a non-GAAP measure), see the attached table.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team delivered solid performance this quarter, and Griffon is on track for another strong year," said Ronald J. Kramer, Chairman and CEO of Griffon. "The strategic actions we announced in the quarter to streamline our business into a pure-play building products company are progressing well. Given our first half results, and continued confidence in our outlook, we are maintaining our financial guidance for the fiscal year."</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"During our first half, we returned $72 million to shareholders through dividends and share repurchases while maintaining our net debt to EBITDA leverage," continued Mr. Kramer. "We will continue to follow our balanced capital allocation strategy to maintain our strong balance sheet while returning value to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Taxes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reported pre-tax income from continuing operations for the quarters ended March 31, 2026 and 2025, and recognized effective tax rates of 27.8% and 26.3%, respectively. Excluding all items that affect comparability, the effective tax rates for the quarters ended March 31, 2026 and 2025 were 27.7% and 27.8%,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Balance Sheet and Capital Expenditures</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March 31, 2026, the Company had cash and equivalents of $109.7 million and total debt outstanding of $1.4 billion, resulting in net debt of $1.3 billion. Leverage, as calculated in accordance with our credit agreement (see the attached table), was 2.4x net debt to EBITDA as of March 31, 2026 compared to 2.6x as of March 31, 2025 and 2.4x as of September 30, 2025. Free cash flow from continuing operations was $100.7 million and capital expenditures, net, were $17.6 million for the six month period ended March 31, 2026. At March 31, 2026, borrowing availability under the revolving credit facility was $436.8 million, subject to certain loan covenants. For a reconciliation and definition of free cash flow from continuing operations (a non-GAAP measure), to net cash provided by operating activities from continuing operations, see the attached table.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Share Repurchases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Share repurchases during the quarter ended March 31, 2026 totaled 0.4 million shares of common stock, for a total of $32.9 million, or an average of $78.03 per share. As of March 31, 2026, $247.0 million remained under the Board authorized share repurchase program. Since April 2023 and through March 31, 2026, the Company purchased 11.5 million shares of common stock or 20.1% of the outstanding shares, for a total of $610.9 million or an average of $53.21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Actions Update</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February 5, 2026, Griffon announced entering into a definitive agreement with ONCAP, the mid-market private equity platform of Onex Corporation (TSX:ONEX), to form a joint venture which will include the AMES U.S. and Canada businesses. In addition, Griffon announced the exploration of strategic alternatives for the AMES Australia and United Kingdom businesses, and the combination of Hunter Fan with the Home and Building Products (HBP) segment.</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Griffon expects to close the joint venture with ONCAP by the end of June 2026. The strategic process for AMES Australia is active and ongoing, and Griffon is in the process of exiting the United Kingdom. Griffon expects these strategic actions to be completed by the end of the calendar year.</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Starting with Griffon’s fiscal second quarter, AMES U.S., Canada, Australia, and UK are reported as discontinued operations, and Griffon reports the financial results of its continuing operations as a single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2026 Outlook</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Griffon's fiscal year 2026 outlook is unchanged from the first quarter, and is consistent with the expected contributions from the legacy HBP segment and Hunter Fan as included within Griffon’s guidance provided in November 2025.</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Griffon expects fiscal 2026 revenue from continuing operations to be $1.8 billion. Adjusted EBITDA, presented to reflect Griffon's new reporting structure, is expected to be $458 million, excluding certain charges that affect comparability. Free cash flow from continuing operations, including capital expenditures of $50 million, is expected to exceed net income from continuing operations, with depreciation of $27 million and amortization of $15 million. Fiscal year 2026 interest expense is expected to be $93 million, excluding any interest income from the anticipated AMES joint venture. Griffon’s normalized tax rate is expected to be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today, May 7, 2026, at 8:30 AM ET.</w:t>
      </w:r>
    </w:p>
    <w:p>
      <w:pPr>
        <w:spacing w:after="0" w:line="2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The call can be accessed by dialing 1-877-407-0792 (U.S. participants) or 1-201-689-8263 (International participants). Callers should ask to be connected to the Griffon Corporation teleconference or provide conference ID number 13759508. Participants are encouraged to dial-in at least 10 minutes before the scheduled start time.</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 replay of the call will be available starting on Thursday, May 7, 2026, at 11:30 AM ET by dialing 1-844-512-2921 (U.S.) or 1-412-317-6671 (International) and entering the conference ID number: 13759508. The replay will be available through Thursday, May 21, 2026, at 11:59 PM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“Safe Harbor” Statements under the Private Securities Litigation Reform Act of 1995: All statements related to, among other things, income (loss), earnings, cash flows, revenue, changes in operations, operating improvements, the industries in which Griffon Corporation (the “Company” or “Griffon”) operates that are not historical are hereby identified as “forward-looking statements” and may be indicated by words or phrases such as “anticipates,” “supports,” “plans,” “projects,” “expects,” “believes,” "achieves,” “should,” “would,” “could,” “hope,” “forecast,” “management is of the opinion,” “may,” “will,” “estimates,” “intends,” “explores,” “opportunities,” the negative of these expressions, use of the future tense and similar words or phrases. Such forward-looking statements are subject to inherent risks and uncertainties that could cause actual results to differ materially from those expressed in any forward-looking statements. These risks and uncertainties include, among others: current economic conditions and uncertainties in the housing, credit and capital markets; Griffon’s ability to achieve expected savings and improved operational results from cost control, restructuring, integration and disposal initiatives; the ability to identify and successfully consummate, and integrate, value-adding acquisition opportunities; increasing competition and pricing pressures in the markets served by Griffon; the ability of Griffon to expand into new geographic and/or product markets, and to anticipate and meet customer demands for new products and product enhancements and innovations; increases in the cost or lack of availability of raw materials such as steel, resin and wood, components or purchased finished goods, including any potential impact on costs or availability resulting from tariffs; changes in customer demand or loss of a material customer at Griffon; the potential impact of seasonal variations and uncertain weather patterns; political events or military conflicts that could impact the worldwide economy; a downgrade in Griffon’s credit ratings; changes in economic conditions in the United States ("U.S.") or internationally including inflation, interest rate and currency exchange fluctuations; the reliance on particular third party suppliers and manufacturers to meet customer demands; the relative mix of products and services, which impacts margins and operating efficiencies; short-term capacity constraints or prolonged excess capacity; unforeseen developments in contingencies, such as litigation, regulatory and environmental matters; Griffon’s ability to adequately protect and maintain the validity of patent and other intellectual property rights; the cyclical nature of certain products; possible terrorist threats and actions and their impact on the global economy; effects of possible IT system failures, data breaches or cyber-attacks; the impact of pandemics on the U.S. and the global economy, including business disruptions, reductions in employment and an increase in business and operating facility failures, specifically among our customers and suppliers; Griffon’s ability to service and refinance its debt; and the impact of recent and future legislative and regulatory changes, including, without limitation, changes in tax laws. Such statements reflect the views of the Company with respect to future events and are subject to these and other risks, as previously disclosed in the Company’s Securities and Exchange Commission filings. Readers are cautioned not to place undue reliance on these forward-looking statements. These forward-looking statements speak only as of the date made. Griffon undertakes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Griffon Corporation</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AMES North America, Australia, and United Kingdom businesses are classified as discontinued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on Griffon, please see the Company’s website at www.griffon.com.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Contact</w:t>
            </w:r>
          </w:p>
        </w:tc>
        <w:tc>
          <w:tcPr>
            <w:tcW w:w="2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Investor Relations Contact</w:t>
            </w:r>
          </w:p>
        </w:tc>
      </w:tr>
      <w:tr>
        <w:trPr>
          <w:trHeight w:val="20"/>
        </w:trPr>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Brian G. Harris</w:t>
            </w:r>
          </w:p>
        </w:tc>
        <w:tc>
          <w:tcPr>
            <w:tcW w:w="38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5"/>
              </w:rPr>
              <w:t>Tom Cook</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28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EVP &amp; Chief Financial Officer</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6"/>
              </w:rPr>
              <w:t>Managing Director</w:t>
            </w:r>
          </w:p>
        </w:tc>
      </w:tr>
      <w:tr>
        <w:trPr>
          <w:trHeight w:val="229"/>
        </w:trPr>
        <w:tc>
          <w:tcPr>
            <w:tcW w:w="1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Griffon Corporation</w:t>
            </w:r>
          </w:p>
        </w:tc>
        <w:tc>
          <w:tcPr>
            <w:tcW w:w="220" w:type="dxa"/>
            <w:vAlign w:val="bottom"/>
          </w:tcPr>
          <w:p>
            <w:pPr>
              <w:spacing w:after="0"/>
              <w:rPr>
                <w:sz w:val="19"/>
                <w:szCs w:val="19"/>
                <w:color w:val="auto"/>
              </w:rPr>
            </w:pPr>
          </w:p>
        </w:tc>
        <w:tc>
          <w:tcPr>
            <w:tcW w:w="23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ICR Inc.</w:t>
            </w: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(212) 957-5000</w:t>
            </w:r>
          </w:p>
        </w:tc>
        <w:tc>
          <w:tcPr>
            <w:tcW w:w="380" w:type="dxa"/>
            <w:vAlign w:val="bottom"/>
          </w:tcPr>
          <w:p>
            <w:pPr>
              <w:spacing w:after="0"/>
              <w:rPr>
                <w:sz w:val="21"/>
                <w:szCs w:val="21"/>
                <w:color w:val="auto"/>
              </w:rPr>
            </w:pPr>
          </w:p>
        </w:tc>
        <w:tc>
          <w:tcPr>
            <w:tcW w:w="23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(203) 682-8250</w:t>
            </w:r>
          </w:p>
        </w:tc>
        <w:tc>
          <w:tcPr>
            <w:tcW w:w="240" w:type="dxa"/>
            <w:vAlign w:val="bottom"/>
          </w:tcPr>
          <w:p>
            <w:pPr>
              <w:spacing w:after="0"/>
              <w:rPr>
                <w:sz w:val="21"/>
                <w:szCs w:val="21"/>
                <w:color w:val="auto"/>
              </w:rPr>
            </w:pPr>
          </w:p>
        </w:tc>
      </w:tr>
      <w:tr>
        <w:trPr>
          <w:trHeight w:val="258"/>
        </w:trPr>
        <w:tc>
          <w:tcPr>
            <w:tcW w:w="1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IR@griffon.com</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6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GRIFFON CORPORATION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(LOSS)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26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r>
      <w:tr>
        <w:trPr>
          <w:trHeight w:val="223"/>
        </w:trPr>
        <w:tc>
          <w:tcPr>
            <w:tcW w:w="4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870,137</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228,337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460,403</w:t>
            </w: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409,734</w:t>
            </w:r>
          </w:p>
        </w:tc>
      </w:tr>
      <w:tr>
        <w:trPr>
          <w:trHeight w:val="28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104,643</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107,461</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214,507</w:t>
            </w: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195,227</w:t>
            </w:r>
          </w:p>
        </w:tc>
      </w:tr>
      <w:tr>
        <w:trPr>
          <w:trHeight w:val="28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(48,695)</w:t>
            </w: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(47,770)</w:t>
            </w:r>
          </w:p>
        </w:tc>
      </w:tr>
      <w:tr>
        <w:trPr>
          <w:trHeight w:val="34"/>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 from continuing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147,457</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38,516</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108,941</w:t>
            </w:r>
          </w:p>
        </w:tc>
      </w:tr>
      <w:tr>
        <w:trPr>
          <w:trHeight w:val="34"/>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operations of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w:t>
            </w:r>
          </w:p>
        </w:tc>
      </w:tr>
      <w:tr>
        <w:trPr>
          <w:trHeight w:val="21"/>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other post retirement plans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cash flow hedges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340"/>
          </w:cols>
          <w:pgMar w:left="780" w:top="529" w:right="7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GRIFFON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center"/>
              <w:ind w:right="4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Pr>
          <w:p>
            <w:pPr>
              <w:spacing w:after="0"/>
              <w:rPr>
                <w:sz w:val="16"/>
                <w:szCs w:val="16"/>
                <w:color w:val="auto"/>
              </w:rPr>
            </w:pPr>
          </w:p>
        </w:tc>
        <w:tc>
          <w:tcPr>
            <w:tcW w:w="1940" w:type="dxa"/>
            <w:vAlign w:val="bottom"/>
          </w:tcPr>
          <w:p>
            <w:pPr>
              <w:jc w:val="right"/>
              <w:ind w:right="51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67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99,045</w:t>
            </w:r>
          </w:p>
        </w:tc>
      </w:tr>
      <w:tr>
        <w:trPr>
          <w:trHeight w:val="22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$5,999 and $5,641</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196,957</w:t>
            </w: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171,747</w:t>
            </w: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42,079</w:t>
            </w:r>
          </w:p>
        </w:tc>
      </w:tr>
      <w:tr>
        <w:trPr>
          <w:trHeight w:val="229"/>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Assets of discontinued operations held for sale</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735,816</w:t>
            </w:r>
          </w:p>
        </w:tc>
      </w:tr>
      <w:tr>
        <w:trPr>
          <w:trHeight w:val="223"/>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1,245,644</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195,950</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53,041</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191,253</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363,955</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26,191</w:t>
            </w:r>
          </w:p>
        </w:tc>
      </w:tr>
      <w:tr>
        <w:trPr>
          <w:trHeight w:val="248"/>
        </w:trPr>
        <w:tc>
          <w:tcPr>
            <w:tcW w:w="6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2,076,034</w:t>
            </w:r>
          </w:p>
        </w:tc>
      </w:tr>
      <w:tr>
        <w:trPr>
          <w:trHeight w:val="21"/>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and current portion of long-term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57,663</w:t>
            </w: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114,628</w:t>
            </w:r>
          </w:p>
        </w:tc>
      </w:tr>
      <w:tr>
        <w:trPr>
          <w:trHeight w:val="22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15,473</w:t>
            </w:r>
          </w:p>
        </w:tc>
      </w:tr>
      <w:tr>
        <w:trPr>
          <w:trHeight w:val="230"/>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Liabilities of discontinued operations held for sale</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250,390</w:t>
            </w:r>
          </w:p>
        </w:tc>
      </w:tr>
      <w:tr>
        <w:trPr>
          <w:trHeight w:val="223"/>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446,187</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1,404,276</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OPERATING LEASE LIABILITIES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111,146</w:t>
            </w:r>
          </w:p>
        </w:tc>
      </w:tr>
      <w:tr>
        <w:trPr>
          <w:trHeight w:val="223"/>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2,002,062</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73,972</w:t>
            </w:r>
          </w:p>
        </w:tc>
      </w:tr>
      <w:tr>
        <w:trPr>
          <w:trHeight w:val="248"/>
        </w:trPr>
        <w:tc>
          <w:tcPr>
            <w:tcW w:w="6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765" w:right="339" w:bottom="1440" w:gutter="0" w:footer="0" w:header="0"/>
        </w:sectPr>
      </w:pPr>
    </w:p>
    <w:bookmarkStart w:id="11" w:name="page12"/>
    <w:bookmarkEnd w:id="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GRIFFON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8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0" w:type="dxa"/>
            <w:vAlign w:val="bottom"/>
          </w:tcPr>
          <w:p>
            <w:pPr>
              <w:spacing w:after="0"/>
              <w:rPr>
                <w:sz w:val="1"/>
                <w:szCs w:val="1"/>
                <w:color w:val="auto"/>
              </w:rPr>
            </w:pPr>
          </w:p>
        </w:tc>
      </w:tr>
      <w:tr>
        <w:trPr>
          <w:trHeight w:val="226"/>
        </w:trPr>
        <w:tc>
          <w:tcPr>
            <w:tcW w:w="7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 - CONTINUING OPERATIONS: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102,509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108,941</w:t>
            </w: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 continuing</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for losses on accounts receivable</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non-cash charges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prepaid and other assets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(decrease) in accounts payable, accrued liabilities and other liabilities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changes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 - continuing operations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139,697</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 - CONTINUING OPERATIONS: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 - continuing operations</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 - CONTINUING OPERATIONS: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shares for treasury</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 - continuing operations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OPERATIONS: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equivalents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EQUIVALENTS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EQUIVALENTS AT BEGINNING OF PERIOD</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 AT END OF PERIOD</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700" w:top="1440" w:right="71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480"/>
          </w:cols>
          <w:pgMar w:left="700" w:top="1440" w:right="719" w:bottom="1440" w:gutter="0" w:footer="0" w:header="0"/>
          <w:type w:val="continuous"/>
        </w:sectPr>
      </w:pPr>
    </w:p>
    <w:bookmarkStart w:id="12" w:name="page13"/>
    <w:bookmarkEnd w:id="12"/>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Griffon uses adjusted income from continuing operations, and the related adjusted earnings per share from continuing operations as key metrics in evaluating performance. These key metrics are non-GAAP measures that exclude the impact of retirement plan events, non-cash impairment charges, loss from debt extinguishment, acquisition related expenses and discrete and certain other tax items, as well as other items that may affect comparability, as applicable. Griffon believes this information is useful to investors. The following table provides a reconciliation of net income to income from continuing operations, to adjusted income from continuing operations and earnings per share from continuing operations, to adjusted earnings per share from continuing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120" w:type="dxa"/>
            <w:vAlign w:val="bottom"/>
          </w:tcPr>
          <w:p>
            <w:pPr>
              <w:spacing w:after="0"/>
              <w:rPr>
                <w:sz w:val="17"/>
                <w:szCs w:val="17"/>
                <w:color w:val="auto"/>
              </w:rPr>
            </w:pPr>
          </w:p>
        </w:tc>
        <w:tc>
          <w:tcPr>
            <w:tcW w:w="298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March 31,</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127,613</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Income (loss) from discontinued operations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108,941</w:t>
            </w: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Adjusting items: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Impact of retirement plan events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review - retention and other</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Tax impact of above items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Discrete and certain other tax provisions (benefits), net</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74"/>
        </w:trPr>
        <w:tc>
          <w:tcPr>
            <w:tcW w:w="4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from continuing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109,146</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from continuing operations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Adjusting items, net of tax:</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Impact of retirement plan events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debt extinguishment</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Strategic review - retention and other</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Discrete and certain other tax provisions (benefits), net</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95"/>
        </w:trPr>
        <w:tc>
          <w:tcPr>
            <w:tcW w:w="4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Adjusted earnings per common share from continuing operations</w:t>
            </w: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Due to rounding, the sum of earnings per common share and adjusting items, net of tax, may not equal adjusted earnings per common share.</w:t>
      </w:r>
    </w:p>
    <w:p>
      <w:pPr>
        <w:spacing w:after="0" w:line="258" w:lineRule="exact"/>
        <w:rPr>
          <w:sz w:val="20"/>
          <w:szCs w:val="20"/>
          <w:color w:val="auto"/>
        </w:rPr>
      </w:pPr>
    </w:p>
    <w:p>
      <w:pPr>
        <w:ind w:firstLine="8"/>
        <w:spacing w:after="0" w:line="302" w:lineRule="auto"/>
        <w:tabs>
          <w:tab w:leader="none" w:pos="2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March 31, 2026, the impact of retirement plan events relates to non-cash charges of $1.6 million and $3.2 million included in Other, net associated with the establishment of a retiree medical plan. The Company will recognize a non-cash charge related to such plan of $5.4 million ratably over the first 10 months of fiscal 2026.</w:t>
      </w:r>
    </w:p>
    <w:p>
      <w:pPr>
        <w:spacing w:after="0" w:line="188" w:lineRule="exact"/>
        <w:rPr>
          <w:rFonts w:ascii="Times New Roman" w:cs="Times New Roman" w:eastAsia="Times New Roman" w:hAnsi="Times New Roman"/>
          <w:sz w:val="14"/>
          <w:szCs w:val="14"/>
          <w:color w:val="auto"/>
        </w:rPr>
      </w:pPr>
    </w:p>
    <w:p>
      <w:pPr>
        <w:ind w:firstLine="8"/>
        <w:spacing w:after="0" w:line="282"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impact for the above reconciling adjustments from GAAP net income to non-GAAP adjusted income from continuing operations, and the related adjusted EPS from continuing operations, is determined by comparing the Company's tax provision, including the reconciling adjustments, to the tax provision excluding such adjustments.</w:t>
      </w:r>
    </w:p>
    <w:p>
      <w:pPr>
        <w:spacing w:after="0" w:line="20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Discrete and certain other tax provisions (benefits) primarily relate to the impact of a rate differential between the statutory and annual effective tax rates on items impacting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Griffon uses adjusted EBITDA as a key metric in evaluating performance. Adjusted EBITDA, a non-GAAP measure, is defined as income before taxes from continuing operations, excluding interest income and expense, depreciation and amortization, strategic review charges, and non-cash impairment charges, as well as other items that may affect comparability, as applicable. Griffon believes this information is useful to investors. The following tables provides a reconciliation of net income to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For the Three Months Ended March</w:t>
            </w:r>
          </w:p>
        </w:tc>
        <w:tc>
          <w:tcPr>
            <w:tcW w:w="120" w:type="dxa"/>
            <w:vAlign w:val="bottom"/>
          </w:tcPr>
          <w:p>
            <w:pPr>
              <w:spacing w:after="0"/>
              <w:rPr>
                <w:sz w:val="19"/>
                <w:szCs w:val="19"/>
                <w:color w:val="auto"/>
              </w:rPr>
            </w:pPr>
          </w:p>
        </w:tc>
        <w:tc>
          <w:tcPr>
            <w:tcW w:w="298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8"/>
              </w:rPr>
              <w:t>For the Six Months Ended March</w:t>
            </w:r>
          </w:p>
        </w:tc>
        <w:tc>
          <w:tcPr>
            <w:tcW w:w="0" w:type="dxa"/>
            <w:vAlign w:val="bottom"/>
          </w:tcPr>
          <w:p>
            <w:pPr>
              <w:spacing w:after="0"/>
              <w:rPr>
                <w:sz w:val="1"/>
                <w:szCs w:val="1"/>
                <w:color w:val="auto"/>
              </w:rPr>
            </w:pPr>
          </w:p>
        </w:tc>
      </w:tr>
      <w:tr>
        <w:trPr>
          <w:trHeight w:val="256"/>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31,</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w w:val="95"/>
              </w:rPr>
              <w:t>31,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2026</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19,318</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56,762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83,705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127,613</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Less: Income (loss) from discontinued operations</w:t>
            </w: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(27,619)</w:t>
            </w:r>
          </w:p>
        </w:tc>
        <w:tc>
          <w:tcPr>
            <w:tcW w:w="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6,957</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(18,804)</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18,672</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from continuing operations</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46,937</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49,805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102,509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108,941</w:t>
            </w: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interest expense</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21,133</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23,616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42,889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48,356</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10,063</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9,593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19,581</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19,091</w:t>
            </w: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18,038</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38,516</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Impact of retirement plan events</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from debt extinguishment</w:t>
            </w:r>
          </w:p>
        </w:tc>
        <w:tc>
          <w:tcPr>
            <w:tcW w:w="140" w:type="dxa"/>
            <w:vAlign w:val="bottom"/>
          </w:tcPr>
          <w:p>
            <w:pPr>
              <w:spacing w:after="0"/>
              <w:rPr>
                <w:sz w:val="22"/>
                <w:szCs w:val="22"/>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Strategic review - retention and other</w:t>
            </w:r>
          </w:p>
        </w:tc>
        <w:tc>
          <w:tcPr>
            <w:tcW w:w="14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1,778</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EBITDA,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97,780</w:t>
            </w:r>
          </w:p>
        </w:tc>
        <w:tc>
          <w:tcPr>
            <w:tcW w:w="16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101,685</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206,942</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216,682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Griffon believes free cash flow ("FCF", a non-GAAP measure) from continuing operations is a useful measure for investors because it demonstrates the Company's ability to generate cash from operations for purposes such as repaying debt, funding acquisitions and paying dividends. FCF from continuing operations is defined as net cash provided by operating activities from continuing operations less capital expenditures, net of proceeds. The following table provides a reconciliation of net cash provided by operating activities from continuing operations to FCF from continuing operations: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640" w:type="dxa"/>
            <w:vAlign w:val="bottom"/>
            <w:tcBorders>
              <w:bottom w:val="single" w:sz="8" w:color="auto"/>
            </w:tcBorders>
            <w:gridSpan w:val="4"/>
          </w:tcPr>
          <w:p>
            <w:pPr>
              <w:jc w:val="right"/>
              <w:ind w:right="941"/>
              <w:spacing w:after="0"/>
              <w:rPr>
                <w:sz w:val="20"/>
                <w:szCs w:val="20"/>
                <w:color w:val="auto"/>
              </w:rPr>
            </w:pPr>
            <w:r>
              <w:rPr>
                <w:rFonts w:ascii="Times New Roman" w:cs="Times New Roman" w:eastAsia="Times New Roman" w:hAnsi="Times New Roman"/>
                <w:sz w:val="20"/>
                <w:szCs w:val="20"/>
                <w:b w:val="1"/>
                <w:bCs w:val="1"/>
                <w:color w:val="auto"/>
              </w:rPr>
              <w:t>For the Six Months Ended March 31,</w:t>
            </w:r>
          </w:p>
        </w:tc>
      </w:tr>
      <w:tr>
        <w:trPr>
          <w:trHeight w:val="257"/>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5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operating activities - continuing operations</w:t>
            </w:r>
          </w:p>
        </w:tc>
        <w:tc>
          <w:tcPr>
            <w:tcW w:w="5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118,314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139,697</w:t>
            </w: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Acquisition of property, plant and equipment</w:t>
            </w:r>
          </w:p>
        </w:tc>
        <w:tc>
          <w:tcPr>
            <w:tcW w:w="5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(17,652)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(25,938)</w:t>
            </w:r>
          </w:p>
        </w:tc>
      </w:tr>
      <w:tr>
        <w:trPr>
          <w:trHeight w:val="27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FCF - continuing operations</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100,662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113,759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43" w:lineRule="auto"/>
        <w:rPr>
          <w:sz w:val="20"/>
          <w:szCs w:val="20"/>
          <w:color w:val="auto"/>
        </w:rPr>
      </w:pPr>
      <w:r>
        <w:rPr>
          <w:rFonts w:ascii="Times New Roman" w:cs="Times New Roman" w:eastAsia="Times New Roman" w:hAnsi="Times New Roman"/>
          <w:sz w:val="20"/>
          <w:szCs w:val="20"/>
          <w:color w:val="auto"/>
        </w:rPr>
        <w:t>Net debt to EBITDA (Leverage ratio), a non-GAAP measure, is a key financial measure that is used by management to assess the borrowing capacity of the Company. The Company has defined its net debt to EBITDA leverage ratio as net debt (total principal debt outstanding net of cash and equivalents) divided by the sum of trailing twelve-month (“TTM”) adjusted EBITDA (as defined above) and TTM stock-based compensation expense. The following table provides a calculation of our net debt to EBITDA leverage ratio as calculated per our credit agreement:</w:t>
      </w:r>
    </w:p>
    <w:tbl>
      <w:tblPr>
        <w:tblLayout w:type="fixed"/>
        <w:tblInd w:w="0" w:type="dxa"/>
        <w:tblCellMar>
          <w:top w:w="0" w:type="dxa"/>
          <w:left w:w="0" w:type="dxa"/>
          <w:bottom w:w="0" w:type="dxa"/>
          <w:right w:w="0" w:type="dxa"/>
        </w:tblCellMar>
      </w:tblPr>
      <w:tr>
        <w:trPr>
          <w:trHeight w:val="209"/>
        </w:trPr>
        <w:tc>
          <w:tcPr>
            <w:tcW w:w="9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20" w:type="dxa"/>
            <w:vAlign w:val="bottom"/>
          </w:tcPr>
          <w:p>
            <w:pPr>
              <w:spacing w:after="0"/>
              <w:rPr>
                <w:sz w:val="18"/>
                <w:szCs w:val="18"/>
                <w:color w:val="auto"/>
              </w:rPr>
            </w:pPr>
          </w:p>
        </w:tc>
        <w:tc>
          <w:tcPr>
            <w:tcW w:w="1740" w:type="dxa"/>
            <w:vAlign w:val="bottom"/>
            <w:gridSpan w:val="2"/>
          </w:tcPr>
          <w:p>
            <w:pPr>
              <w:ind w:left="220"/>
              <w:spacing w:after="0" w:line="208" w:lineRule="exact"/>
              <w:rPr>
                <w:sz w:val="20"/>
                <w:szCs w:val="20"/>
                <w:color w:val="auto"/>
              </w:rPr>
            </w:pPr>
            <w:r>
              <w:rPr>
                <w:rFonts w:ascii="Times New Roman" w:cs="Times New Roman" w:eastAsia="Times New Roman" w:hAnsi="Times New Roman"/>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91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equivalents</w:t>
            </w:r>
          </w:p>
        </w:tc>
        <w:tc>
          <w:tcPr>
            <w:tcW w:w="16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109,672</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Notes payable and current portion of long-term debt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Long-term debt, net of current maturities</w:t>
            </w: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1,394,836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Debt discount/premium and issuance costs</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gross debt - continuing basis</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1,411,793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Discontinued operations</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gross debt including discontinued operations</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1,412,125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Debt, net of cash and equivalents</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1,302,453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9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9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TTM adjusted EBITDA</w:t>
            </w:r>
          </w:p>
        </w:tc>
        <w:tc>
          <w:tcPr>
            <w:tcW w:w="32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519,677</w:t>
            </w: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TTM stock-based compensation, including discontinued operations</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0"/>
                <w:szCs w:val="20"/>
                <w:b w:val="1"/>
                <w:bCs w:val="1"/>
                <w:color w:val="auto"/>
              </w:rPr>
              <w:t>TTM EBITDA, per debt compliance</w:t>
            </w:r>
            <w:r>
              <w:rPr>
                <w:rFonts w:ascii="Times New Roman" w:cs="Times New Roman" w:eastAsia="Times New Roman" w:hAnsi="Times New Roman"/>
                <w:sz w:val="25"/>
                <w:szCs w:val="25"/>
                <w:b w:val="1"/>
                <w:bCs w:val="1"/>
                <w:color w:val="auto"/>
                <w:vertAlign w:val="superscript"/>
              </w:rPr>
              <w:t>(1)</w:t>
            </w: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547,505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90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9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Leverage ratio</w:t>
            </w:r>
          </w:p>
        </w:tc>
        <w:tc>
          <w:tcPr>
            <w:tcW w:w="320" w:type="dxa"/>
            <w:vAlign w:val="bottom"/>
            <w:tcBorders>
              <w:top w:val="single" w:sz="8" w:color="CCEEFF"/>
            </w:tcBorders>
          </w:tcPr>
          <w:p>
            <w:pPr>
              <w:spacing w:after="0"/>
              <w:rPr>
                <w:sz w:val="22"/>
                <w:szCs w:val="22"/>
                <w:color w:val="auto"/>
              </w:rPr>
            </w:pPr>
          </w:p>
        </w:tc>
        <w:tc>
          <w:tcPr>
            <w:tcW w:w="1740" w:type="dxa"/>
            <w:vAlign w:val="bottom"/>
            <w:tcBorders>
              <w:top w:val="single" w:sz="8" w:color="CCEEFF"/>
            </w:tcBorders>
            <w:gridSpan w:val="2"/>
          </w:tcPr>
          <w:p>
            <w:pPr>
              <w:ind w:left="1280"/>
              <w:spacing w:after="0"/>
              <w:rPr>
                <w:sz w:val="20"/>
                <w:szCs w:val="20"/>
                <w:color w:val="auto"/>
              </w:rPr>
            </w:pPr>
            <w:r>
              <w:rPr>
                <w:rFonts w:ascii="Times New Roman" w:cs="Times New Roman" w:eastAsia="Times New Roman" w:hAnsi="Times New Roman"/>
                <w:sz w:val="20"/>
                <w:szCs w:val="20"/>
                <w:b w:val="1"/>
                <w:bCs w:val="1"/>
                <w:color w:val="auto"/>
              </w:rPr>
              <w:t>2.4x</w:t>
            </w:r>
          </w:p>
        </w:tc>
        <w:tc>
          <w:tcPr>
            <w:tcW w:w="0" w:type="dxa"/>
            <w:vAlign w:val="bottom"/>
          </w:tcPr>
          <w:p>
            <w:pPr>
              <w:spacing w:after="0"/>
              <w:rPr>
                <w:sz w:val="1"/>
                <w:szCs w:val="1"/>
                <w:color w:val="auto"/>
              </w:rPr>
            </w:pPr>
          </w:p>
        </w:tc>
      </w:tr>
      <w:tr>
        <w:trPr>
          <w:trHeight w:val="210"/>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jc w:val="both"/>
        <w:ind w:left="20" w:right="20" w:firstLine="6"/>
        <w:spacing w:after="0" w:line="227" w:lineRule="auto"/>
        <w:tabs>
          <w:tab w:leader="none" w:pos="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Griffon defines EBITDA per bank compliance as operating results including discontinued operations and excluding interest income and expense, income taxes, depreciation and amortization, restructuring charges, debt extinguishment, net and acquisition related expenses, as well as other items that may affect comparability, as applicable, plus stock based compensation. See following table for calculation of TTM EBITDA, per debt compliance for the six months ended March 31, 2026. For the six months ended March 31, 2025 and year ended September 30, 2025, see the Company's previously reported earnings releases on Form 8-K furnished to the SEC.</w:t>
      </w:r>
    </w:p>
    <w:p>
      <w:pPr>
        <w:spacing w:after="0" w:line="3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following table provides a reconciliation of adjusted EBITDA including stock-based compensation to TTM EBITDA, per debt compliance:</w:t>
      </w: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300"/>
              <w:spacing w:after="0" w:line="204" w:lineRule="exact"/>
              <w:rPr>
                <w:sz w:val="20"/>
                <w:szCs w:val="20"/>
                <w:color w:val="auto"/>
              </w:rPr>
            </w:pPr>
            <w:r>
              <w:rPr>
                <w:rFonts w:ascii="Times New Roman" w:cs="Times New Roman" w:eastAsia="Times New Roman" w:hAnsi="Times New Roman"/>
                <w:sz w:val="20"/>
                <w:szCs w:val="20"/>
                <w:b w:val="1"/>
                <w:bCs w:val="1"/>
                <w:color w:val="auto"/>
                <w:w w:val="97"/>
              </w:rPr>
              <w:t>Year ended</w:t>
            </w:r>
          </w:p>
        </w:tc>
        <w:tc>
          <w:tcPr>
            <w:tcW w:w="120" w:type="dxa"/>
            <w:vAlign w:val="bottom"/>
          </w:tcPr>
          <w:p>
            <w:pPr>
              <w:spacing w:after="0"/>
              <w:rPr>
                <w:sz w:val="17"/>
                <w:szCs w:val="17"/>
                <w:color w:val="auto"/>
              </w:rPr>
            </w:pPr>
          </w:p>
        </w:tc>
        <w:tc>
          <w:tcPr>
            <w:tcW w:w="340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For the Six Months Ended March 31,</w:t>
            </w:r>
          </w:p>
        </w:tc>
        <w:tc>
          <w:tcPr>
            <w:tcW w:w="200" w:type="dxa"/>
            <w:vAlign w:val="bottom"/>
          </w:tcPr>
          <w:p>
            <w:pPr>
              <w:spacing w:after="0"/>
              <w:rPr>
                <w:sz w:val="17"/>
                <w:szCs w:val="17"/>
                <w:color w:val="auto"/>
              </w:rPr>
            </w:pPr>
          </w:p>
        </w:tc>
        <w:tc>
          <w:tcPr>
            <w:tcW w:w="17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TTM March 31,</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September 30,</w:t>
            </w:r>
          </w:p>
        </w:tc>
        <w:tc>
          <w:tcPr>
            <w:tcW w:w="120" w:type="dxa"/>
            <w:vAlign w:val="bottom"/>
          </w:tcPr>
          <w:p>
            <w:pPr>
              <w:spacing w:after="0"/>
              <w:rPr>
                <w:sz w:val="22"/>
                <w:szCs w:val="22"/>
                <w:color w:val="auto"/>
              </w:rPr>
            </w:pPr>
          </w:p>
        </w:tc>
        <w:tc>
          <w:tcPr>
            <w:tcW w:w="3400" w:type="dxa"/>
            <w:vAlign w:val="bottom"/>
            <w:gridSpan w:val="5"/>
            <w:vMerge w:val="continue"/>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center"/>
              <w:ind w:right="101"/>
              <w:spacing w:after="0" w:line="250" w:lineRule="exact"/>
              <w:rPr>
                <w:sz w:val="20"/>
                <w:szCs w:val="20"/>
                <w:color w:val="auto"/>
              </w:rPr>
            </w:pPr>
            <w:r>
              <w:rPr>
                <w:rFonts w:ascii="Times New Roman" w:cs="Times New Roman" w:eastAsia="Times New Roman" w:hAnsi="Times New Roman"/>
                <w:sz w:val="20"/>
                <w:szCs w:val="20"/>
                <w:b w:val="1"/>
                <w:bCs w:val="1"/>
                <w:color w:val="auto"/>
                <w:w w:val="94"/>
              </w:rPr>
              <w:t>2025</w:t>
            </w:r>
            <w:r>
              <w:rPr>
                <w:rFonts w:ascii="Times New Roman" w:cs="Times New Roman" w:eastAsia="Times New Roman" w:hAnsi="Times New Roman"/>
                <w:sz w:val="25"/>
                <w:szCs w:val="25"/>
                <w:b w:val="1"/>
                <w:bCs w:val="1"/>
                <w:color w:val="auto"/>
                <w:w w:val="94"/>
                <w:vertAlign w:val="superscript"/>
              </w:rPr>
              <w:t>(1)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61"/>
              <w:spacing w:after="0" w:line="250" w:lineRule="exact"/>
              <w:rPr>
                <w:sz w:val="20"/>
                <w:szCs w:val="20"/>
                <w:color w:val="auto"/>
              </w:rPr>
            </w:pPr>
            <w:r>
              <w:rPr>
                <w:rFonts w:ascii="Times New Roman" w:cs="Times New Roman" w:eastAsia="Times New Roman" w:hAnsi="Times New Roman"/>
                <w:sz w:val="20"/>
                <w:szCs w:val="20"/>
                <w:b w:val="1"/>
                <w:bCs w:val="1"/>
                <w:color w:val="auto"/>
              </w:rPr>
              <w:t>2026</w:t>
            </w:r>
            <w:r>
              <w:rPr>
                <w:rFonts w:ascii="Times New Roman" w:cs="Times New Roman" w:eastAsia="Times New Roman" w:hAnsi="Times New Roman"/>
                <w:sz w:val="25"/>
                <w:szCs w:val="25"/>
                <w:b w:val="1"/>
                <w:bCs w:val="1"/>
                <w:color w:val="auto"/>
                <w:vertAlign w:val="superscript"/>
              </w:rPr>
              <w:t>(2)</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41"/>
              <w:spacing w:after="0" w:line="250" w:lineRule="exact"/>
              <w:rPr>
                <w:sz w:val="20"/>
                <w:szCs w:val="20"/>
                <w:color w:val="auto"/>
              </w:rPr>
            </w:pP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Adjusted 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522,293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247,101</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249,717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519,677</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Add: Stock-based compensation expense</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25,483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14,238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11,893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27,828</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EBITDA, per debt compliance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547,776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261,339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261,610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547,505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9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23"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previously reported in the Company's earnings release on Form 8-K furnished to the SEC.</w:t>
      </w:r>
    </w:p>
    <w:p>
      <w:pPr>
        <w:spacing w:after="0" w:line="5" w:lineRule="exact"/>
        <w:rPr>
          <w:rFonts w:ascii="Times New Roman" w:cs="Times New Roman" w:eastAsia="Times New Roman" w:hAnsi="Times New Roman"/>
          <w:sz w:val="16"/>
          <w:szCs w:val="16"/>
          <w:color w:val="auto"/>
        </w:rPr>
      </w:pPr>
    </w:p>
    <w:p>
      <w:pPr>
        <w:ind w:firstLine="8"/>
        <w:spacing w:after="0" w:line="257" w:lineRule="auto"/>
        <w:tabs>
          <w:tab w:leader="none" w:pos="23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a reconciliation of adjusted EBITDA from continuing operations, including stock compensation to EBITDA, per debt compliance for the six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For the Six Months</w:t>
            </w:r>
          </w:p>
        </w:tc>
        <w:tc>
          <w:tcPr>
            <w:tcW w:w="0" w:type="dxa"/>
            <w:vAlign w:val="bottom"/>
          </w:tcPr>
          <w:p>
            <w:pPr>
              <w:spacing w:after="0"/>
              <w:rPr>
                <w:sz w:val="1"/>
                <w:szCs w:val="1"/>
                <w:color w:val="auto"/>
              </w:rPr>
            </w:pPr>
          </w:p>
        </w:tc>
      </w:tr>
      <w:tr>
        <w:trPr>
          <w:trHeight w:val="256"/>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Ended March 31,</w:t>
            </w:r>
          </w:p>
        </w:tc>
        <w:tc>
          <w:tcPr>
            <w:tcW w:w="0" w:type="dxa"/>
            <w:vAlign w:val="bottom"/>
          </w:tcPr>
          <w:p>
            <w:pPr>
              <w:spacing w:after="0"/>
              <w:rPr>
                <w:sz w:val="1"/>
                <w:szCs w:val="1"/>
                <w:color w:val="auto"/>
              </w:rPr>
            </w:pPr>
          </w:p>
        </w:tc>
      </w:tr>
      <w:tr>
        <w:trPr>
          <w:trHeight w:val="250"/>
        </w:trPr>
        <w:tc>
          <w:tcPr>
            <w:tcW w:w="4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4"/>
              </w:rPr>
              <w:t>2026</w:t>
            </w:r>
          </w:p>
        </w:tc>
        <w:tc>
          <w:tcPr>
            <w:tcW w:w="0" w:type="dxa"/>
            <w:vAlign w:val="bottom"/>
          </w:tcPr>
          <w:p>
            <w:pPr>
              <w:spacing w:after="0"/>
              <w:rPr>
                <w:sz w:val="1"/>
                <w:szCs w:val="1"/>
                <w:color w:val="auto"/>
              </w:rPr>
            </w:pPr>
          </w:p>
        </w:tc>
      </w:tr>
      <w:tr>
        <w:trPr>
          <w:trHeight w:val="34"/>
        </w:trPr>
        <w:tc>
          <w:tcPr>
            <w:tcW w:w="4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1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206,942</w:t>
            </w:r>
          </w:p>
        </w:tc>
        <w:tc>
          <w:tcPr>
            <w:tcW w:w="0" w:type="dxa"/>
            <w:vAlign w:val="bottom"/>
          </w:tcPr>
          <w:p>
            <w:pPr>
              <w:spacing w:after="0"/>
              <w:rPr>
                <w:sz w:val="1"/>
                <w:szCs w:val="1"/>
                <w:color w:val="auto"/>
              </w:rPr>
            </w:pPr>
          </w:p>
        </w:tc>
      </w:tr>
      <w:tr>
        <w:trPr>
          <w:trHeight w:val="257"/>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Discontinued operations</w:t>
            </w:r>
          </w:p>
        </w:tc>
        <w:tc>
          <w:tcPr>
            <w:tcW w:w="1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40,159</w:t>
            </w:r>
          </w:p>
        </w:tc>
        <w:tc>
          <w:tcPr>
            <w:tcW w:w="0" w:type="dxa"/>
            <w:vAlign w:val="bottom"/>
          </w:tcPr>
          <w:p>
            <w:pPr>
              <w:spacing w:after="0"/>
              <w:rPr>
                <w:sz w:val="1"/>
                <w:szCs w:val="1"/>
                <w:color w:val="auto"/>
              </w:rPr>
            </w:pPr>
          </w:p>
        </w:tc>
      </w:tr>
      <w:tr>
        <w:trPr>
          <w:trHeight w:val="284"/>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247,101</w:t>
            </w: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Stock-based Compensation:</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Continuing operations</w:t>
            </w:r>
          </w:p>
        </w:tc>
        <w:tc>
          <w:tcPr>
            <w:tcW w:w="14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13,758</w:t>
            </w: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0"/>
                <w:szCs w:val="20"/>
                <w:color w:val="auto"/>
              </w:rPr>
              <w:t>Discontinued operations</w:t>
            </w: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0" w:type="dxa"/>
            <w:vAlign w:val="bottom"/>
          </w:tcPr>
          <w:p>
            <w:pPr>
              <w:spacing w:after="0"/>
              <w:rPr>
                <w:sz w:val="1"/>
                <w:szCs w:val="1"/>
                <w:color w:val="auto"/>
              </w:rPr>
            </w:pPr>
          </w:p>
        </w:tc>
      </w:tr>
      <w:tr>
        <w:trPr>
          <w:trHeight w:val="25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14,238</w:t>
            </w:r>
          </w:p>
        </w:tc>
        <w:tc>
          <w:tcPr>
            <w:tcW w:w="0" w:type="dxa"/>
            <w:vAlign w:val="bottom"/>
          </w:tcPr>
          <w:p>
            <w:pPr>
              <w:spacing w:after="0"/>
              <w:rPr>
                <w:sz w:val="1"/>
                <w:szCs w:val="1"/>
                <w:color w:val="auto"/>
              </w:rPr>
            </w:pPr>
          </w:p>
        </w:tc>
      </w:tr>
      <w:tr>
        <w:trPr>
          <w:trHeight w:val="54"/>
        </w:trPr>
        <w:tc>
          <w:tcPr>
            <w:tcW w:w="4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EBITDA, per debt compliance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261,339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following tables provide a reconciliation of selling, general and administrative expenses for items that affect comparability for the three and six months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2"/>
                <w:szCs w:val="22"/>
                <w:color w:val="auto"/>
              </w:rPr>
            </w:pPr>
          </w:p>
        </w:tc>
        <w:tc>
          <w:tcPr>
            <w:tcW w:w="360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For the Three Months Ended March 31.</w:t>
            </w:r>
          </w:p>
        </w:tc>
        <w:tc>
          <w:tcPr>
            <w:tcW w:w="160" w:type="dxa"/>
            <w:vAlign w:val="bottom"/>
          </w:tcPr>
          <w:p>
            <w:pPr>
              <w:spacing w:after="0"/>
              <w:rPr>
                <w:sz w:val="22"/>
                <w:szCs w:val="22"/>
                <w:color w:val="auto"/>
              </w:rPr>
            </w:pPr>
          </w:p>
        </w:tc>
        <w:tc>
          <w:tcPr>
            <w:tcW w:w="338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For the Six Months Ended March 31,</w:t>
            </w:r>
          </w:p>
        </w:tc>
        <w:tc>
          <w:tcPr>
            <w:tcW w:w="0" w:type="dxa"/>
            <w:vAlign w:val="bottom"/>
          </w:tcPr>
          <w:p>
            <w:pPr>
              <w:spacing w:after="0"/>
              <w:rPr>
                <w:sz w:val="1"/>
                <w:szCs w:val="1"/>
                <w:color w:val="auto"/>
              </w:rPr>
            </w:pPr>
          </w:p>
        </w:tc>
      </w:tr>
      <w:tr>
        <w:trPr>
          <w:trHeight w:val="25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6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38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104,643</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107,461</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213,963</w:t>
            </w:r>
          </w:p>
        </w:tc>
        <w:tc>
          <w:tcPr>
            <w:tcW w:w="16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214,507</w:t>
            </w:r>
          </w:p>
        </w:tc>
        <w:tc>
          <w:tcPr>
            <w:tcW w:w="0" w:type="dxa"/>
            <w:vAlign w:val="bottom"/>
          </w:tcPr>
          <w:p>
            <w:pPr>
              <w:spacing w:after="0"/>
              <w:rPr>
                <w:sz w:val="1"/>
                <w:szCs w:val="1"/>
                <w:color w:val="auto"/>
              </w:rPr>
            </w:pPr>
          </w:p>
        </w:tc>
      </w:tr>
      <w:tr>
        <w:trPr>
          <w:trHeight w:val="25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expenses, as reported</w:t>
            </w:r>
          </w:p>
        </w:tc>
        <w:tc>
          <w:tcPr>
            <w:tcW w:w="38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of revenue</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24.7 %</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Adjusting items: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Strategic review - retention and other</w:t>
            </w:r>
          </w:p>
        </w:tc>
        <w:tc>
          <w:tcPr>
            <w:tcW w:w="3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(1,778)</w:t>
            </w:r>
          </w:p>
        </w:tc>
        <w:tc>
          <w:tcPr>
            <w:tcW w:w="0" w:type="dxa"/>
            <w:vAlign w:val="bottom"/>
          </w:tcPr>
          <w:p>
            <w:pPr>
              <w:spacing w:after="0"/>
              <w:rPr>
                <w:sz w:val="1"/>
                <w:szCs w:val="1"/>
                <w:color w:val="auto"/>
              </w:rPr>
            </w:pPr>
          </w:p>
        </w:tc>
      </w:tr>
      <w:tr>
        <w:trPr>
          <w:trHeight w:val="173"/>
        </w:trPr>
        <w:tc>
          <w:tcPr>
            <w:tcW w:w="3500" w:type="dxa"/>
            <w:vAlign w:val="bottom"/>
            <w:tcBorders>
              <w:top w:val="single" w:sz="8" w:color="CCEEFF"/>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380" w:type="dxa"/>
            <w:vAlign w:val="bottom"/>
            <w:tcBorders>
              <w:top w:val="single" w:sz="8" w:color="auto"/>
            </w:tcBorders>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104,643</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106,572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top w:val="single" w:sz="8" w:color="auto"/>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213,963</w:t>
            </w: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212,729</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shd w:val="clear" w:color="auto" w:fill="CCEEFF"/>
          </w:tcPr>
          <w:p>
            <w:pPr>
              <w:ind w:left="40"/>
              <w:spacing w:after="0" w:line="226" w:lineRule="exact"/>
              <w:rPr>
                <w:sz w:val="20"/>
                <w:szCs w:val="20"/>
                <w:color w:val="auto"/>
              </w:rPr>
            </w:pPr>
            <w:r>
              <w:rPr>
                <w:rFonts w:ascii="Times New Roman" w:cs="Times New Roman" w:eastAsia="Times New Roman" w:hAnsi="Times New Roman"/>
                <w:sz w:val="20"/>
                <w:szCs w:val="20"/>
                <w:color w:val="auto"/>
              </w:rPr>
              <w:t>expenses, as adjusted</w:t>
            </w: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 of revenue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2026-05-07T06:46:21Z</dcterms:created>
  <dcterms:modified xsi:type="dcterms:W3CDTF">2026-05-07T06:46:21Z</dcterms:modified>
</cp:coreProperties>
</file>