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345.xml.htm"/>
      <w:bookmarkStart w:id="1" w:name="kswkform4_17864793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 Brian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GRIFFON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GRIFFON CORP</w:t>
              </w:r>
            </w:hyperlink>
            <w:r>
              <w:rPr/>
              <w:t xml:space="preserve"> [ </w:t>
            </w:r>
            <w:r>
              <w:rPr>
                <w:rFonts w:ascii="Times;serif" w:hAnsi="Times;serif"/>
                <w:color w:val="0000FF"/>
                <w:sz w:val="24"/>
                <w:shd w:fill="FFFFFF" w:val="clear"/>
              </w:rPr>
              <w:t>GFF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107.11</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128,649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$107.05 to $107.12, inclusive. The reporting person undertakes to provide Griffon Corporation, any security holder of Griffon Corporation, or the staff of the Securities and Exchange Commission, upon request, full information regarding the number of shares disposed of at each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L. Kaplan,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70077" TargetMode="External"/><Relationship Id="rId5" Type="http://schemas.openxmlformats.org/officeDocument/2006/relationships/hyperlink" Target="http://www.sec.gov/cgi-bin/browse-edgar?action=getcompany&amp;CIK=000005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3508</Characters>
  <CharactersWithSpaces>4082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