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00" w:type="dxa"/>
        <w:jc w:val="left"/>
        <w:tblInd w:w="0" w:type="dxa"/>
        <w:tblLayout w:type="fixed"/>
        <w:tblCellMar>
          <w:top w:w="28" w:type="dxa"/>
          <w:left w:w="28" w:type="dxa"/>
          <w:bottom w:w="28" w:type="dxa"/>
          <w:right w:w="28" w:type="dxa"/>
        </w:tblCellMar>
      </w:tblPr>
      <w:tblGrid>
        <w:gridCol w:w="759"/>
        <w:gridCol w:w="669"/>
        <w:gridCol w:w="669"/>
        <w:gridCol w:w="669"/>
        <w:gridCol w:w="669"/>
        <w:gridCol w:w="669"/>
        <w:gridCol w:w="669"/>
        <w:gridCol w:w="669"/>
        <w:gridCol w:w="958"/>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UNITED STATES</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Washington, D.C. 20549</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 xml:space="preserve">CURRENT REPORT </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10, 2026</w:t>
      </w:r>
    </w:p>
    <w:tbl>
      <w:tblPr>
        <w:tblW w:w="10205" w:type="dxa"/>
        <w:jc w:val="center"/>
        <w:tblInd w:w="0" w:type="dxa"/>
        <w:tblLayout w:type="fixed"/>
        <w:tblCellMar>
          <w:top w:w="28" w:type="dxa"/>
          <w:left w:w="28" w:type="dxa"/>
          <w:bottom w:w="28" w:type="dxa"/>
          <w:right w:w="28" w:type="dxa"/>
        </w:tblCellMar>
      </w:tblPr>
      <w:tblGrid>
        <w:gridCol w:w="1265"/>
        <w:gridCol w:w="1109"/>
        <w:gridCol w:w="1013"/>
        <w:gridCol w:w="1251"/>
        <w:gridCol w:w="1251"/>
        <w:gridCol w:w="1253"/>
        <w:gridCol w:w="1001"/>
        <w:gridCol w:w="1001"/>
        <w:gridCol w:w="1061"/>
      </w:tblGrid>
      <w:tr>
        <w:trPr/>
        <w:tc>
          <w:tcPr>
            <w:tcW w:w="12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GRIFFON CORPORATION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pPr>
            <w:r>
              <w:rPr>
                <w:rFonts w:ascii="Times New Roman;serif" w:hAnsi="Times New Roman;serif"/>
                <w:b/>
                <w:color w:val="000000"/>
                <w:sz w:val="24"/>
              </w:rPr>
              <w:t>Delaware</w:t>
            </w:r>
            <w:r>
              <w:rPr>
                <w:color w:val="000000"/>
              </w:rPr>
              <w:t xml:space="preserve"> </w:t>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001-06620</w:t>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11-1893410 </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 of Incorporation)</w:t>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(Commission File Number)</w:t>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(I.R.S. Employer Identification No.)</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pPr>
            <w:r>
              <w:rPr>
                <w:rFonts w:ascii="Times New Roman;serif" w:hAnsi="Times New Roman;serif"/>
                <w:b/>
                <w:color w:val="000000"/>
                <w:sz w:val="24"/>
              </w:rPr>
              <w:t>712 Fifth Avenue, 18</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Floor</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New York, New York 10019</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 (Zip Code)</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(212) 957-5000 </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 Applicable</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color w:val="000000"/>
        </w:rPr>
      </w:pPr>
      <w:r>
        <w:rPr>
          <w:color w:val="000000"/>
        </w:rPr>
        <w:t>    </w:t>
      </w:r>
      <w:r>
        <w:rPr>
          <w:rFonts w:ascii="Times New Roman;serif" w:hAnsi="Times New Roman;serif"/>
          <w:b w:val="false"/>
          <w:color w:val="000000"/>
          <w:sz w:val="24"/>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137"/>
        <w:gridCol w:w="984"/>
        <w:gridCol w:w="993"/>
        <w:gridCol w:w="109"/>
        <w:gridCol w:w="109"/>
        <w:gridCol w:w="109"/>
        <w:gridCol w:w="656"/>
        <w:gridCol w:w="656"/>
        <w:gridCol w:w="658"/>
        <w:gridCol w:w="109"/>
        <w:gridCol w:w="109"/>
        <w:gridCol w:w="109"/>
        <w:gridCol w:w="1305"/>
        <w:gridCol w:w="1305"/>
        <w:gridCol w:w="1857"/>
      </w:tblGrid>
      <w:tr>
        <w:trPr/>
        <w:tc>
          <w:tcPr>
            <w:tcW w:w="113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each exchange on which registered</w:t>
            </w:r>
          </w:p>
        </w:tc>
      </w:tr>
      <w:tr>
        <w:trPr/>
        <w:tc>
          <w:tcPr>
            <w:tcW w:w="3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tbl>
      <w:tblPr>
        <w:tblW w:w="3084" w:type="dxa"/>
        <w:jc w:val="center"/>
        <w:tblInd w:w="0" w:type="dxa"/>
        <w:tblLayout w:type="fixed"/>
        <w:tblCellMar>
          <w:top w:w="28" w:type="dxa"/>
          <w:left w:w="28" w:type="dxa"/>
          <w:bottom w:w="28" w:type="dxa"/>
          <w:right w:w="28" w:type="dxa"/>
        </w:tblCellMar>
      </w:tblPr>
      <w:tblGrid>
        <w:gridCol w:w="501"/>
        <w:gridCol w:w="441"/>
        <w:gridCol w:w="441"/>
        <w:gridCol w:w="441"/>
        <w:gridCol w:w="441"/>
        <w:gridCol w:w="447"/>
        <w:gridCol w:w="109"/>
        <w:gridCol w:w="109"/>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Griffon Corporation (the “Company”) issued a press release announcing the commencement of an offering through a private placement, subject to market and other conditions, of $800 million in aggregate principal amount of senior notes due 2034 (the “Offering”).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information in Exhibit 99.1 is being furnished pursuant to Item 7.01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hyperlink w:anchor="griffonlaunchpressrelease.htm">
        <w:r>
          <w:rPr>
            <w:rStyle w:val="InternetLink"/>
            <w:rFonts w:ascii="Times New Roman;serif" w:hAnsi="Times New Roman;serif"/>
            <w:b w:val="false"/>
            <w:color w:val="0000FF"/>
            <w:sz w:val="20"/>
            <w:u w:val="single"/>
          </w:rPr>
          <w:t xml:space="preserve">99.1 </w:t>
        </w:r>
      </w:hyperlink>
      <w:r>
        <w:rPr>
          <w:color w:val="000000"/>
        </w:rPr>
        <w:t>    </w:t>
      </w:r>
      <w:hyperlink w:anchor="griffonlaunchpressrelease.htm">
        <w:r>
          <w:rPr>
            <w:rStyle w:val="InternetLink"/>
          </w:rPr>
          <w:t>Press Release</w:t>
        </w:r>
      </w:hyperlink>
      <w:hyperlink w:anchor="griffonlaunchpressrelease.htm">
        <w:r>
          <w:rPr>
            <w:rStyle w:val="InternetLink"/>
          </w:rPr>
          <w:t>, dated August 10, 2026</w:t>
        </w:r>
      </w:hyperlink>
      <w:hyperlink w:anchor="griffonlaunchpressrelease.htm">
        <w:r>
          <w:rPr>
            <w:rStyle w:val="InternetLink"/>
          </w:rPr>
          <w:t>, regarding the Offering</w:t>
        </w:r>
      </w:hyperlink>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3539" w:type="dxa"/>
        <w:jc w:val="center"/>
        <w:tblInd w:w="0" w:type="dxa"/>
        <w:tblLayout w:type="fixed"/>
        <w:tblCellMar>
          <w:top w:w="28" w:type="dxa"/>
          <w:left w:w="28" w:type="dxa"/>
          <w:bottom w:w="28" w:type="dxa"/>
          <w:right w:w="28" w:type="dxa"/>
        </w:tblCellMar>
      </w:tblPr>
      <w:tblGrid>
        <w:gridCol w:w="1133"/>
        <w:gridCol w:w="996"/>
        <w:gridCol w:w="1410"/>
      </w:tblGrid>
      <w:tr>
        <w:trPr/>
        <w:tc>
          <w:tcPr>
            <w:tcW w:w="113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4"/>
              </w:rPr>
              <w:t>GRIFFON CORPORATION</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Seth L. Kaplan </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Seth L. Kaplan</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Executive Vice President</w:t>
            </w:r>
          </w:p>
        </w:tc>
      </w:tr>
    </w:tbl>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Dated: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both"/>
        <w:rPr/>
      </w:pPr>
      <w:r>
        <w:rPr/>
      </w:r>
    </w:p>
    <w:p>
      <w:pPr>
        <w:pStyle w:val="TextBody"/>
        <w:bidi w:val="0"/>
        <w:spacing w:lineRule="auto" w:line="288" w:before="0" w:after="0"/>
        <w:ind w:left="0" w:right="0" w:hanging="720"/>
        <w:jc w:val="both"/>
        <w:rPr/>
      </w:pPr>
      <w:hyperlink w:anchor="griffonlaunchpressrelease.htm">
        <w:r>
          <w:rPr>
            <w:rStyle w:val="InternetLink"/>
            <w:rFonts w:ascii="Times New Roman;serif" w:hAnsi="Times New Roman;serif"/>
            <w:b w:val="false"/>
            <w:color w:val="0000FF"/>
            <w:sz w:val="20"/>
            <w:u w:val="single"/>
          </w:rPr>
          <w:t>99.1</w:t>
        </w:r>
      </w:hyperlink>
      <w:r>
        <w:rPr>
          <w:color w:val="000000"/>
        </w:rPr>
        <w:t xml:space="preserve">     </w:t>
      </w:r>
      <w:hyperlink w:anchor="griffonlaunchpressrelease.htm">
        <w:r>
          <w:rPr>
            <w:rStyle w:val="InternetLink"/>
            <w:rFonts w:ascii="Times New Roman;serif" w:hAnsi="Times New Roman;serif"/>
            <w:b w:val="false"/>
            <w:color w:val="0000FF"/>
            <w:sz w:val="20"/>
            <w:u w:val="single"/>
          </w:rPr>
          <w:t>Press Release, dated August 10, 2026, regarding the Offering</w:t>
        </w:r>
      </w:hyperlink>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shd w:fill="FFFFFF" w:val="clear"/>
        </w:rPr>
      </w:pPr>
      <w:r>
        <w:rPr>
          <w:color w:val="000000"/>
          <w:shd w:fill="FFFFFF" w:val="clear"/>
        </w:rPr>
        <w:t> </w:t>
      </w:r>
    </w:p>
    <w:p>
      <w:pPr>
        <w:pStyle w:val="TextBody"/>
        <w:bidi w:val="0"/>
        <w:spacing w:before="0" w:after="0"/>
        <w:jc w:val="center"/>
        <w:rPr/>
      </w:pPr>
      <w:r>
        <w:rPr/>
        <w:drawing>
          <wp:inline distT="0" distB="0" distL="0" distR="0">
            <wp:extent cx="3200400" cy="790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200400" cy="7905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Griffon Corporation Announces Senior Notes Offering</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color w:val="000000"/>
          <w:sz w:val="20"/>
          <w:shd w:fill="FFFFFF" w:val="clear"/>
        </w:rPr>
        <w:t>NEW YORK, NEW YORK – August 10, 2026</w:t>
      </w:r>
      <w:r>
        <w:rPr>
          <w:color w:val="000000"/>
          <w:shd w:fill="FFFFFF" w:val="clear"/>
        </w:rPr>
        <w:t xml:space="preserve"> – </w:t>
      </w:r>
      <w:r>
        <w:rPr>
          <w:rFonts w:ascii="Times New Roman;serif" w:hAnsi="Times New Roman;serif"/>
          <w:b w:val="false"/>
          <w:color w:val="000000"/>
          <w:sz w:val="20"/>
          <w:shd w:fill="FFFFFF" w:val="clear"/>
        </w:rPr>
        <w:t>Griffon Corporation (NYSE: GFF) (“Griffon”) today announced that it intends to commence an offering through a private placement, subject to market and other conditions, of $800 million in aggregate principal amount of senior notes due 2034 (the “Notes”). The Notes will be senior unsecured obligations of Griffon and will be guaranteed by certain of its domestic subsidiaries.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Griffon intends to use the proceeds from the offering, together with cash on hand and revolver borrowings under either Griffon’s existing credit facility or its new revolving credit facility that is expected to close substantially concurrently with the offering, to (i) redeem all of Griffon’s outstanding 5.75% Senior Notes due 2028 (the “2028 Notes”) at the applicable redemption price plus accrued and unpaid interest and (ii) pay certain related fees and expenses.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and related guarantees are being offered in a private placement, solely to persons reasonably believed to be qualified institutional buyers in reliance on Rule 144A under the Securities Act of 1933, as amended (the “Securities Act”), or outside the United States to persons other than “U.S. persons” in compliance with Regulation S under the Securities Act. The Notes and related guarantees will not be registered under the Securities Act or the securities laws of any other jurisdiction and may not be offered or sold in the United States absent registration or an applicable exemption from the registration requirements.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notice does not constitute an offer to sell the Notes, nor will any such offer be made, nor does it constitute a solicitation of an offer to purchase the Notes or any other securities, in each case in any jurisdiction in which such offer or solicitation would be unlawful. Any offer of the Notes will be made only by means of a private offering memorandum. This notice does not constitute an offer to purchase or redeem any of the 2028 Notes. This press release is being issued pursuant to and in accordance with Rule 135c under the Securities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Forward-Looking Statements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contains forward-looking statements that may state Griffon’s or its management’s intentions, beliefs, expectations or predictions for the future. Such forward-looking statements are subject to certain risks, uncertainties and assumptions, and typically can be identified by the use of words such as “intend,” “will,” “expect,” “estimate,” “anticipate,” “forecast,” “plan,” “believe” and similar terms. Although Griffon believes that its expectations are reasonable, it can give no assurance that these expectations will prove to have been correct, and actual results may vary materially. Factors that could cause actual results to differ materially from those contemplated above include, among others, risks and uncertainties related to the capital markets generally, whether Griffon will consummate the offering of the Notes, the anticipated use of proceeds, and other factors detailed in filings made by Griffon with the Securities and Exchange Commission. Investors are cautioned not to place undue reliance on these forward-looking statements, which speak only as of the date hereof. Griffon does not undertake to update any of these statements in light of new information or future events.</w:t>
      </w:r>
    </w:p>
    <w:p>
      <w:pPr>
        <w:pStyle w:val="TextBody"/>
        <w:bidi w:val="0"/>
        <w:spacing w:before="0" w:after="0"/>
        <w:jc w:val="both"/>
        <w:rPr/>
      </w:pPr>
      <w:r>
        <w:rPr/>
      </w:r>
    </w:p>
    <w:tbl>
      <w:tblPr>
        <w:tblW w:w="5337" w:type="dxa"/>
        <w:jc w:val="left"/>
        <w:tblInd w:w="0" w:type="dxa"/>
        <w:tblLayout w:type="fixed"/>
        <w:tblCellMar>
          <w:top w:w="28" w:type="dxa"/>
          <w:left w:w="28" w:type="dxa"/>
          <w:bottom w:w="28" w:type="dxa"/>
          <w:right w:w="28" w:type="dxa"/>
        </w:tblCellMar>
      </w:tblPr>
      <w:tblGrid>
        <w:gridCol w:w="935"/>
        <w:gridCol w:w="820"/>
        <w:gridCol w:w="825"/>
        <w:gridCol w:w="109"/>
        <w:gridCol w:w="109"/>
        <w:gridCol w:w="109"/>
        <w:gridCol w:w="710"/>
        <w:gridCol w:w="710"/>
        <w:gridCol w:w="1010"/>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Contact: </w:t>
            </w:r>
          </w:p>
        </w:tc>
      </w:tr>
      <w:tr>
        <w:trPr/>
        <w:tc>
          <w:tcPr>
            <w:tcW w:w="25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 Harris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Cook</w:t>
            </w:r>
          </w:p>
        </w:tc>
      </w:tr>
      <w:tr>
        <w:trPr/>
        <w:tc>
          <w:tcPr>
            <w:tcW w:w="25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&amp; Chief Financial Officer</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w:t>
            </w:r>
          </w:p>
        </w:tc>
      </w:tr>
    </w:tbl>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415"/>
        <w:gridCol w:w="415"/>
        <w:gridCol w:w="59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Griffon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ICR Inc.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(212) 957-5000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 682-8250</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1066</Words>
  <Characters>5802</Characters>
  <CharactersWithSpaces>6842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